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C963E" w14:textId="33B028D6" w:rsidR="00F85EAB" w:rsidRDefault="003935E1" w:rsidP="00BE2990">
      <w:pPr>
        <w:spacing w:after="0" w:line="276" w:lineRule="auto"/>
        <w:jc w:val="center"/>
        <w:rPr>
          <w:rFonts w:ascii="Arial" w:eastAsia="Times New Roman" w:hAnsi="Arial" w:cs="Arial"/>
          <w:b/>
          <w:bCs/>
          <w:color w:val="000000"/>
          <w:kern w:val="0"/>
          <w:sz w:val="24"/>
          <w:szCs w:val="24"/>
          <w:u w:val="single"/>
          <w:lang w:eastAsia="pt-BR"/>
          <w14:ligatures w14:val="none"/>
        </w:rPr>
      </w:pPr>
      <w:r w:rsidRPr="003935E1">
        <w:rPr>
          <w:rFonts w:ascii="Arial" w:eastAsia="Times New Roman" w:hAnsi="Arial" w:cs="Arial"/>
          <w:b/>
          <w:bCs/>
          <w:color w:val="000000"/>
          <w:kern w:val="0"/>
          <w:sz w:val="24"/>
          <w:szCs w:val="24"/>
          <w:u w:val="single"/>
          <w:lang w:eastAsia="pt-BR"/>
          <w14:ligatures w14:val="none"/>
        </w:rPr>
        <w:t xml:space="preserve">LEI COMPLEMENTAR Nº </w:t>
      </w:r>
      <w:r w:rsidRPr="003935E1">
        <w:rPr>
          <w:rFonts w:ascii="Arial" w:eastAsia="Times New Roman" w:hAnsi="Arial" w:cs="Arial"/>
          <w:b/>
          <w:bCs/>
          <w:color w:val="000000"/>
          <w:kern w:val="0"/>
          <w:sz w:val="24"/>
          <w:szCs w:val="24"/>
          <w:highlight w:val="yellow"/>
          <w:u w:val="single"/>
          <w:lang w:eastAsia="pt-BR"/>
          <w14:ligatures w14:val="none"/>
        </w:rPr>
        <w:t>[*]</w:t>
      </w:r>
      <w:r w:rsidRPr="003935E1">
        <w:rPr>
          <w:rFonts w:ascii="Arial" w:eastAsia="Times New Roman" w:hAnsi="Arial" w:cs="Arial"/>
          <w:b/>
          <w:bCs/>
          <w:color w:val="000000"/>
          <w:kern w:val="0"/>
          <w:sz w:val="24"/>
          <w:szCs w:val="24"/>
          <w:u w:val="single"/>
          <w:lang w:eastAsia="pt-BR"/>
          <w14:ligatures w14:val="none"/>
        </w:rPr>
        <w:t xml:space="preserve">, DE </w:t>
      </w:r>
      <w:r w:rsidRPr="003935E1">
        <w:rPr>
          <w:rFonts w:ascii="Arial" w:eastAsia="Times New Roman" w:hAnsi="Arial" w:cs="Arial"/>
          <w:b/>
          <w:bCs/>
          <w:color w:val="000000"/>
          <w:kern w:val="0"/>
          <w:sz w:val="24"/>
          <w:szCs w:val="24"/>
          <w:highlight w:val="yellow"/>
          <w:u w:val="single"/>
          <w:lang w:eastAsia="pt-BR"/>
          <w14:ligatures w14:val="none"/>
        </w:rPr>
        <w:t>[*]</w:t>
      </w:r>
      <w:r w:rsidRPr="003935E1">
        <w:rPr>
          <w:rFonts w:ascii="Arial" w:eastAsia="Times New Roman" w:hAnsi="Arial" w:cs="Arial"/>
          <w:b/>
          <w:bCs/>
          <w:color w:val="000000"/>
          <w:kern w:val="0"/>
          <w:sz w:val="24"/>
          <w:szCs w:val="24"/>
          <w:u w:val="single"/>
          <w:lang w:eastAsia="pt-BR"/>
          <w14:ligatures w14:val="none"/>
        </w:rPr>
        <w:t xml:space="preserve"> DE </w:t>
      </w:r>
      <w:r w:rsidRPr="003935E1">
        <w:rPr>
          <w:rFonts w:ascii="Arial" w:eastAsia="Times New Roman" w:hAnsi="Arial" w:cs="Arial"/>
          <w:b/>
          <w:bCs/>
          <w:color w:val="000000"/>
          <w:kern w:val="0"/>
          <w:sz w:val="24"/>
          <w:szCs w:val="24"/>
          <w:highlight w:val="yellow"/>
          <w:u w:val="single"/>
          <w:lang w:eastAsia="pt-BR"/>
          <w14:ligatures w14:val="none"/>
        </w:rPr>
        <w:t>[*]</w:t>
      </w:r>
      <w:r w:rsidRPr="003935E1">
        <w:rPr>
          <w:rFonts w:ascii="Arial" w:eastAsia="Times New Roman" w:hAnsi="Arial" w:cs="Arial"/>
          <w:b/>
          <w:bCs/>
          <w:color w:val="000000"/>
          <w:kern w:val="0"/>
          <w:sz w:val="24"/>
          <w:szCs w:val="24"/>
          <w:u w:val="single"/>
          <w:lang w:eastAsia="pt-BR"/>
          <w14:ligatures w14:val="none"/>
        </w:rPr>
        <w:t xml:space="preserve"> DE 2024</w:t>
      </w:r>
    </w:p>
    <w:p w14:paraId="0C83654D" w14:textId="77777777" w:rsidR="00BE2990" w:rsidRPr="003935E1" w:rsidRDefault="00BE2990" w:rsidP="00BE2990">
      <w:pPr>
        <w:spacing w:after="0" w:line="276" w:lineRule="auto"/>
        <w:jc w:val="center"/>
        <w:rPr>
          <w:rFonts w:ascii="Arial" w:eastAsia="Times New Roman" w:hAnsi="Arial" w:cs="Arial"/>
          <w:b/>
          <w:bCs/>
          <w:color w:val="000000"/>
          <w:kern w:val="0"/>
          <w:sz w:val="24"/>
          <w:szCs w:val="24"/>
          <w:u w:val="single"/>
          <w:lang w:eastAsia="pt-BR"/>
          <w14:ligatures w14:val="none"/>
        </w:rPr>
      </w:pPr>
    </w:p>
    <w:p w14:paraId="7EC37263" w14:textId="4FA6E116" w:rsidR="003935E1" w:rsidRDefault="003935E1" w:rsidP="00BE2990">
      <w:pPr>
        <w:spacing w:after="0" w:line="276" w:lineRule="auto"/>
        <w:ind w:left="2552"/>
        <w:rPr>
          <w:rFonts w:ascii="Arial" w:hAnsi="Arial" w:cs="Arial"/>
          <w:b/>
          <w:bCs/>
          <w:color w:val="000000"/>
          <w:sz w:val="24"/>
          <w:szCs w:val="24"/>
        </w:rPr>
      </w:pPr>
      <w:r w:rsidRPr="003935E1">
        <w:rPr>
          <w:rFonts w:ascii="Arial" w:eastAsia="Times New Roman" w:hAnsi="Arial" w:cs="Arial"/>
          <w:b/>
          <w:bCs/>
          <w:color w:val="000000"/>
          <w:kern w:val="0"/>
          <w:sz w:val="24"/>
          <w:szCs w:val="24"/>
          <w:lang w:eastAsia="pt-BR"/>
          <w14:ligatures w14:val="none"/>
        </w:rPr>
        <w:t xml:space="preserve">ALTERA DISPOSITIVOS DA </w:t>
      </w:r>
      <w:r w:rsidRPr="003935E1">
        <w:rPr>
          <w:rFonts w:ascii="Arial" w:hAnsi="Arial" w:cs="Arial"/>
          <w:b/>
          <w:bCs/>
          <w:color w:val="000000"/>
          <w:sz w:val="24"/>
          <w:szCs w:val="24"/>
        </w:rPr>
        <w:t>LEI COMPLEMENTAR Nº 043, DE 18 DE DEZEMBRO DE 2013</w:t>
      </w:r>
    </w:p>
    <w:p w14:paraId="74031A9C" w14:textId="77777777" w:rsidR="00BE2990" w:rsidRPr="003935E1" w:rsidRDefault="00BE2990" w:rsidP="00BE2990">
      <w:pPr>
        <w:spacing w:after="0" w:line="276" w:lineRule="auto"/>
        <w:rPr>
          <w:rFonts w:ascii="Arial" w:eastAsia="Times New Roman" w:hAnsi="Arial" w:cs="Arial"/>
          <w:b/>
          <w:bCs/>
          <w:color w:val="000000"/>
          <w:kern w:val="0"/>
          <w:sz w:val="24"/>
          <w:szCs w:val="24"/>
          <w:lang w:eastAsia="pt-BR"/>
          <w14:ligatures w14:val="none"/>
        </w:rPr>
      </w:pPr>
    </w:p>
    <w:p w14:paraId="7C59D988" w14:textId="11BF2285" w:rsidR="00F85EAB" w:rsidRDefault="003935E1" w:rsidP="00BE2990">
      <w:pPr>
        <w:spacing w:after="0" w:line="276" w:lineRule="auto"/>
        <w:rPr>
          <w:rFonts w:ascii="Arial" w:eastAsia="Times New Roman" w:hAnsi="Arial" w:cs="Arial"/>
          <w:color w:val="000000"/>
          <w:kern w:val="0"/>
          <w:sz w:val="24"/>
          <w:szCs w:val="24"/>
          <w:lang w:eastAsia="pt-BR"/>
          <w14:ligatures w14:val="none"/>
        </w:rPr>
      </w:pPr>
      <w:r w:rsidRPr="006B4841">
        <w:rPr>
          <w:rFonts w:ascii="Arial" w:eastAsia="Times New Roman" w:hAnsi="Arial" w:cs="Arial"/>
          <w:color w:val="000000"/>
          <w:kern w:val="0"/>
          <w:sz w:val="24"/>
          <w:szCs w:val="24"/>
          <w:lang w:eastAsia="pt-BR"/>
          <w14:ligatures w14:val="none"/>
        </w:rPr>
        <w:t>A Câmara Municipal de Entre Rios do Oeste, Estado do Paraná aprovou e eu, Prefeito sanciono a seguinte Lei</w:t>
      </w:r>
      <w:r w:rsidR="00F85EAB" w:rsidRPr="006B4841">
        <w:rPr>
          <w:rFonts w:ascii="Arial" w:eastAsia="Times New Roman" w:hAnsi="Arial" w:cs="Arial"/>
          <w:color w:val="000000"/>
          <w:kern w:val="0"/>
          <w:sz w:val="24"/>
          <w:szCs w:val="24"/>
          <w:lang w:eastAsia="pt-BR"/>
          <w14:ligatures w14:val="none"/>
        </w:rPr>
        <w:t>:</w:t>
      </w:r>
    </w:p>
    <w:p w14:paraId="2107F293" w14:textId="77777777" w:rsidR="00BE2990" w:rsidRPr="006B4841" w:rsidRDefault="00BE2990" w:rsidP="00BE2990">
      <w:pPr>
        <w:spacing w:after="0" w:line="276" w:lineRule="auto"/>
        <w:rPr>
          <w:rFonts w:ascii="Arial" w:eastAsia="Times New Roman" w:hAnsi="Arial" w:cs="Arial"/>
          <w:color w:val="000000"/>
          <w:kern w:val="0"/>
          <w:sz w:val="24"/>
          <w:szCs w:val="24"/>
          <w:lang w:eastAsia="pt-BR"/>
          <w14:ligatures w14:val="none"/>
        </w:rPr>
      </w:pPr>
    </w:p>
    <w:p w14:paraId="07B55B02" w14:textId="4DB3E5E4" w:rsidR="006B4841" w:rsidRDefault="003935E1" w:rsidP="00BE2990">
      <w:pPr>
        <w:spacing w:after="0" w:line="276" w:lineRule="auto"/>
        <w:jc w:val="both"/>
        <w:rPr>
          <w:rFonts w:ascii="Arial" w:eastAsia="Times New Roman" w:hAnsi="Arial" w:cs="Arial"/>
          <w:color w:val="000000" w:themeColor="text1"/>
          <w:kern w:val="0"/>
          <w:sz w:val="24"/>
          <w:szCs w:val="24"/>
          <w:lang w:eastAsia="pt-BR"/>
          <w14:ligatures w14:val="none"/>
        </w:rPr>
      </w:pPr>
      <w:r w:rsidRPr="00BE2990">
        <w:rPr>
          <w:rFonts w:ascii="Arial" w:eastAsia="Times New Roman" w:hAnsi="Arial" w:cs="Arial"/>
          <w:b/>
          <w:bCs/>
          <w:color w:val="000000" w:themeColor="text1"/>
          <w:kern w:val="0"/>
          <w:sz w:val="24"/>
          <w:szCs w:val="24"/>
          <w:lang w:eastAsia="pt-BR"/>
          <w14:ligatures w14:val="none"/>
        </w:rPr>
        <w:t>Art. 1</w:t>
      </w:r>
      <w:r w:rsidR="006B4841" w:rsidRPr="00BE2990">
        <w:rPr>
          <w:rFonts w:ascii="Arial" w:eastAsia="Times New Roman" w:hAnsi="Arial" w:cs="Arial"/>
          <w:b/>
          <w:bCs/>
          <w:color w:val="000000" w:themeColor="text1"/>
          <w:kern w:val="0"/>
          <w:sz w:val="24"/>
          <w:szCs w:val="24"/>
          <w:lang w:eastAsia="pt-BR"/>
          <w14:ligatures w14:val="none"/>
        </w:rPr>
        <w:t>.</w:t>
      </w:r>
      <w:r w:rsidRPr="00BE2990">
        <w:rPr>
          <w:rFonts w:ascii="Arial" w:eastAsia="Times New Roman" w:hAnsi="Arial" w:cs="Arial"/>
          <w:color w:val="000000" w:themeColor="text1"/>
          <w:kern w:val="0"/>
          <w:sz w:val="24"/>
          <w:szCs w:val="24"/>
          <w:lang w:eastAsia="pt-BR"/>
          <w14:ligatures w14:val="none"/>
        </w:rPr>
        <w:t xml:space="preserve"> </w:t>
      </w:r>
      <w:r w:rsidR="006B4841" w:rsidRPr="00BE2990">
        <w:rPr>
          <w:rFonts w:ascii="Arial" w:eastAsia="Times New Roman" w:hAnsi="Arial" w:cs="Arial"/>
          <w:color w:val="000000" w:themeColor="text1"/>
          <w:kern w:val="0"/>
          <w:sz w:val="24"/>
          <w:szCs w:val="24"/>
          <w:lang w:eastAsia="pt-BR"/>
          <w14:ligatures w14:val="none"/>
        </w:rPr>
        <w:t xml:space="preserve">Essa lei </w:t>
      </w:r>
      <w:r w:rsidR="004B4145" w:rsidRPr="00BE2990">
        <w:rPr>
          <w:rFonts w:ascii="Arial" w:eastAsia="Times New Roman" w:hAnsi="Arial" w:cs="Arial"/>
          <w:color w:val="000000" w:themeColor="text1"/>
          <w:kern w:val="0"/>
          <w:sz w:val="24"/>
          <w:szCs w:val="24"/>
          <w:lang w:eastAsia="pt-BR"/>
          <w14:ligatures w14:val="none"/>
        </w:rPr>
        <w:t xml:space="preserve">regulamenta </w:t>
      </w:r>
      <w:r w:rsidR="00BE2990" w:rsidRPr="00BE2990">
        <w:rPr>
          <w:rFonts w:ascii="Arial" w:eastAsia="Times New Roman" w:hAnsi="Arial" w:cs="Arial"/>
          <w:color w:val="000000" w:themeColor="text1"/>
          <w:kern w:val="0"/>
          <w:sz w:val="24"/>
          <w:szCs w:val="24"/>
          <w:lang w:eastAsia="pt-BR"/>
          <w14:ligatures w14:val="none"/>
        </w:rPr>
        <w:t>a C</w:t>
      </w:r>
      <w:r w:rsidR="00BE2990" w:rsidRPr="00BE2990">
        <w:rPr>
          <w:rFonts w:ascii="Arial" w:eastAsia="Times New Roman" w:hAnsi="Arial" w:cs="Arial"/>
          <w:color w:val="000000" w:themeColor="text1"/>
          <w:kern w:val="0"/>
          <w:sz w:val="24"/>
          <w:szCs w:val="24"/>
          <w:lang w:eastAsia="pt-BR"/>
          <w14:ligatures w14:val="none"/>
        </w:rPr>
        <w:t xml:space="preserve">ontribuição para o </w:t>
      </w:r>
      <w:r w:rsidR="00BE2990" w:rsidRPr="00BE2990">
        <w:rPr>
          <w:rFonts w:ascii="Arial" w:eastAsia="Times New Roman" w:hAnsi="Arial" w:cs="Arial"/>
          <w:color w:val="000000" w:themeColor="text1"/>
          <w:kern w:val="0"/>
          <w:sz w:val="24"/>
          <w:szCs w:val="24"/>
          <w:lang w:eastAsia="pt-BR"/>
          <w14:ligatures w14:val="none"/>
        </w:rPr>
        <w:t>C</w:t>
      </w:r>
      <w:r w:rsidR="00BE2990" w:rsidRPr="00BE2990">
        <w:rPr>
          <w:rFonts w:ascii="Arial" w:eastAsia="Times New Roman" w:hAnsi="Arial" w:cs="Arial"/>
          <w:color w:val="000000" w:themeColor="text1"/>
          <w:kern w:val="0"/>
          <w:sz w:val="24"/>
          <w:szCs w:val="24"/>
          <w:lang w:eastAsia="pt-BR"/>
          <w14:ligatures w14:val="none"/>
        </w:rPr>
        <w:t xml:space="preserve">usteio do </w:t>
      </w:r>
      <w:r w:rsidR="00BE2990" w:rsidRPr="00BE2990">
        <w:rPr>
          <w:rFonts w:ascii="Arial" w:eastAsia="Times New Roman" w:hAnsi="Arial" w:cs="Arial"/>
          <w:color w:val="000000" w:themeColor="text1"/>
          <w:kern w:val="0"/>
          <w:sz w:val="24"/>
          <w:szCs w:val="24"/>
          <w:lang w:eastAsia="pt-BR"/>
          <w14:ligatures w14:val="none"/>
        </w:rPr>
        <w:t>S</w:t>
      </w:r>
      <w:r w:rsidR="00BE2990" w:rsidRPr="00BE2990">
        <w:rPr>
          <w:rFonts w:ascii="Arial" w:eastAsia="Times New Roman" w:hAnsi="Arial" w:cs="Arial"/>
          <w:color w:val="000000" w:themeColor="text1"/>
          <w:kern w:val="0"/>
          <w:sz w:val="24"/>
          <w:szCs w:val="24"/>
          <w:lang w:eastAsia="pt-BR"/>
          <w14:ligatures w14:val="none"/>
        </w:rPr>
        <w:t xml:space="preserve">erviço de </w:t>
      </w:r>
      <w:r w:rsidR="00BE2990" w:rsidRPr="00BE2990">
        <w:rPr>
          <w:rFonts w:ascii="Arial" w:eastAsia="Times New Roman" w:hAnsi="Arial" w:cs="Arial"/>
          <w:color w:val="000000" w:themeColor="text1"/>
          <w:kern w:val="0"/>
          <w:sz w:val="24"/>
          <w:szCs w:val="24"/>
          <w:lang w:eastAsia="pt-BR"/>
          <w14:ligatures w14:val="none"/>
        </w:rPr>
        <w:t>I</w:t>
      </w:r>
      <w:r w:rsidR="00BE2990" w:rsidRPr="00BE2990">
        <w:rPr>
          <w:rFonts w:ascii="Arial" w:eastAsia="Times New Roman" w:hAnsi="Arial" w:cs="Arial"/>
          <w:color w:val="000000" w:themeColor="text1"/>
          <w:kern w:val="0"/>
          <w:sz w:val="24"/>
          <w:szCs w:val="24"/>
          <w:lang w:eastAsia="pt-BR"/>
          <w14:ligatures w14:val="none"/>
        </w:rPr>
        <w:t xml:space="preserve">luminação </w:t>
      </w:r>
      <w:r w:rsidR="00BE2990" w:rsidRPr="00BE2990">
        <w:rPr>
          <w:rFonts w:ascii="Arial" w:eastAsia="Times New Roman" w:hAnsi="Arial" w:cs="Arial"/>
          <w:color w:val="000000" w:themeColor="text1"/>
          <w:kern w:val="0"/>
          <w:sz w:val="24"/>
          <w:szCs w:val="24"/>
          <w:lang w:eastAsia="pt-BR"/>
          <w14:ligatures w14:val="none"/>
        </w:rPr>
        <w:t>P</w:t>
      </w:r>
      <w:r w:rsidR="00BE2990" w:rsidRPr="00BE2990">
        <w:rPr>
          <w:rFonts w:ascii="Arial" w:eastAsia="Times New Roman" w:hAnsi="Arial" w:cs="Arial"/>
          <w:color w:val="000000" w:themeColor="text1"/>
          <w:kern w:val="0"/>
          <w:sz w:val="24"/>
          <w:szCs w:val="24"/>
          <w:lang w:eastAsia="pt-BR"/>
          <w14:ligatures w14:val="none"/>
        </w:rPr>
        <w:t>ública</w:t>
      </w:r>
      <w:r w:rsidR="00BE2990" w:rsidRPr="00367042">
        <w:rPr>
          <w:rFonts w:ascii="Arial" w:eastAsia="Times New Roman" w:hAnsi="Arial" w:cs="Arial"/>
          <w:color w:val="000000"/>
          <w:kern w:val="0"/>
          <w:sz w:val="24"/>
          <w:szCs w:val="24"/>
          <w:lang w:eastAsia="pt-BR"/>
          <w14:ligatures w14:val="none"/>
        </w:rPr>
        <w:t xml:space="preserve"> - COSIP</w:t>
      </w:r>
      <w:r w:rsidR="00BE2990" w:rsidRPr="00BE2990">
        <w:rPr>
          <w:rFonts w:ascii="Arial" w:eastAsia="Times New Roman" w:hAnsi="Arial" w:cs="Arial"/>
          <w:color w:val="000000" w:themeColor="text1"/>
          <w:kern w:val="0"/>
          <w:sz w:val="24"/>
          <w:szCs w:val="24"/>
          <w:lang w:eastAsia="pt-BR"/>
          <w14:ligatures w14:val="none"/>
        </w:rPr>
        <w:t xml:space="preserve"> </w:t>
      </w:r>
      <w:r w:rsidR="004B4145" w:rsidRPr="00BE2990">
        <w:rPr>
          <w:rFonts w:ascii="Arial" w:eastAsia="Times New Roman" w:hAnsi="Arial" w:cs="Arial"/>
          <w:color w:val="000000" w:themeColor="text1"/>
          <w:kern w:val="0"/>
          <w:sz w:val="24"/>
          <w:szCs w:val="24"/>
          <w:lang w:eastAsia="pt-BR"/>
          <w14:ligatures w14:val="none"/>
        </w:rPr>
        <w:t>no município de Entre Rios do Oeste</w:t>
      </w:r>
      <w:r w:rsidR="006B4841" w:rsidRPr="00BE2990">
        <w:rPr>
          <w:rFonts w:ascii="Arial" w:eastAsia="Times New Roman" w:hAnsi="Arial" w:cs="Arial"/>
          <w:color w:val="000000" w:themeColor="text1"/>
          <w:kern w:val="0"/>
          <w:sz w:val="24"/>
          <w:szCs w:val="24"/>
          <w:lang w:eastAsia="pt-BR"/>
          <w14:ligatures w14:val="none"/>
        </w:rPr>
        <w:t>.</w:t>
      </w:r>
    </w:p>
    <w:p w14:paraId="66924240" w14:textId="77777777" w:rsidR="00BE2990" w:rsidRPr="00BE2990" w:rsidRDefault="00BE2990" w:rsidP="00BE2990">
      <w:pPr>
        <w:spacing w:after="0" w:line="276" w:lineRule="auto"/>
        <w:jc w:val="both"/>
        <w:rPr>
          <w:rFonts w:ascii="Arial" w:eastAsia="Times New Roman" w:hAnsi="Arial" w:cs="Arial"/>
          <w:color w:val="000000" w:themeColor="text1"/>
          <w:kern w:val="0"/>
          <w:sz w:val="24"/>
          <w:szCs w:val="24"/>
          <w:lang w:eastAsia="pt-BR"/>
          <w14:ligatures w14:val="none"/>
        </w:rPr>
      </w:pPr>
    </w:p>
    <w:p w14:paraId="7BFEE8A8" w14:textId="77777777" w:rsidR="00BE2990" w:rsidRDefault="006B4841" w:rsidP="00BE2990">
      <w:pPr>
        <w:spacing w:after="0" w:line="276" w:lineRule="auto"/>
        <w:jc w:val="center"/>
        <w:rPr>
          <w:rFonts w:ascii="Arial" w:hAnsi="Arial" w:cs="Arial"/>
          <w:b/>
          <w:bCs/>
          <w:color w:val="000000"/>
          <w:sz w:val="24"/>
          <w:szCs w:val="24"/>
        </w:rPr>
      </w:pPr>
      <w:r w:rsidRPr="006B4841">
        <w:rPr>
          <w:rFonts w:ascii="Arial" w:hAnsi="Arial" w:cs="Arial"/>
          <w:b/>
          <w:bCs/>
          <w:color w:val="000000"/>
          <w:sz w:val="24"/>
          <w:szCs w:val="24"/>
        </w:rPr>
        <w:t>Seção I</w:t>
      </w:r>
    </w:p>
    <w:p w14:paraId="66D847F6" w14:textId="63CAF3FC" w:rsidR="006B4841" w:rsidRDefault="006B4841" w:rsidP="00BE2990">
      <w:pPr>
        <w:spacing w:after="0" w:line="276" w:lineRule="auto"/>
        <w:jc w:val="center"/>
        <w:rPr>
          <w:rFonts w:ascii="Arial" w:hAnsi="Arial" w:cs="Arial"/>
          <w:b/>
          <w:bCs/>
          <w:color w:val="000000"/>
          <w:sz w:val="24"/>
          <w:szCs w:val="24"/>
        </w:rPr>
      </w:pPr>
      <w:r w:rsidRPr="006B4841">
        <w:rPr>
          <w:rFonts w:ascii="Arial" w:hAnsi="Arial" w:cs="Arial"/>
          <w:b/>
          <w:bCs/>
          <w:color w:val="000000"/>
          <w:sz w:val="24"/>
          <w:szCs w:val="24"/>
        </w:rPr>
        <w:t>Do Fato Gerador</w:t>
      </w:r>
    </w:p>
    <w:p w14:paraId="752BE34F" w14:textId="77777777" w:rsidR="00BE2990" w:rsidRPr="006B4841" w:rsidRDefault="00BE2990" w:rsidP="00BE2990">
      <w:pPr>
        <w:spacing w:after="0" w:line="276" w:lineRule="auto"/>
        <w:rPr>
          <w:rFonts w:ascii="Arial" w:hAnsi="Arial" w:cs="Arial"/>
          <w:b/>
          <w:bCs/>
          <w:color w:val="000000"/>
          <w:sz w:val="24"/>
          <w:szCs w:val="24"/>
        </w:rPr>
      </w:pPr>
    </w:p>
    <w:p w14:paraId="65A4C925" w14:textId="6866AA9F" w:rsidR="006B4841" w:rsidRDefault="006B4841" w:rsidP="00BE2990">
      <w:pPr>
        <w:spacing w:after="0" w:line="276" w:lineRule="auto"/>
        <w:jc w:val="both"/>
        <w:rPr>
          <w:rFonts w:ascii="Arial" w:eastAsia="Times New Roman" w:hAnsi="Arial" w:cs="Arial"/>
          <w:color w:val="000000"/>
          <w:kern w:val="0"/>
          <w:sz w:val="24"/>
          <w:szCs w:val="24"/>
          <w:lang w:eastAsia="pt-BR"/>
          <w14:ligatures w14:val="none"/>
        </w:rPr>
      </w:pPr>
      <w:r w:rsidRPr="006B4841">
        <w:rPr>
          <w:rFonts w:ascii="Arial" w:eastAsia="Times New Roman" w:hAnsi="Arial" w:cs="Arial"/>
          <w:b/>
          <w:bCs/>
          <w:color w:val="000000"/>
          <w:kern w:val="0"/>
          <w:sz w:val="24"/>
          <w:szCs w:val="24"/>
          <w:lang w:eastAsia="pt-BR"/>
          <w14:ligatures w14:val="none"/>
        </w:rPr>
        <w:t xml:space="preserve">Art. 2. </w:t>
      </w:r>
      <w:r w:rsidRPr="006B4841">
        <w:rPr>
          <w:rFonts w:ascii="Arial" w:eastAsia="Times New Roman" w:hAnsi="Arial" w:cs="Arial"/>
          <w:color w:val="000000"/>
          <w:kern w:val="0"/>
          <w:sz w:val="24"/>
          <w:szCs w:val="24"/>
          <w:lang w:eastAsia="pt-BR"/>
          <w14:ligatures w14:val="none"/>
        </w:rPr>
        <w:t>A contribuição para o custeio do serviço de iluminação pública tem como fato gerador a Iluminação de vias, logradouros e demais bens públicos e a instalação, manutenção, melhoramento e expansão da rede de iluminação pública, postos à disposição dos proprietários e ou possuidores a qualquer título, de imóveis edificados ou não, no município.</w:t>
      </w:r>
    </w:p>
    <w:p w14:paraId="08F1BE45" w14:textId="77777777" w:rsidR="00BE2990" w:rsidRPr="006B4841" w:rsidRDefault="00BE2990" w:rsidP="00BE2990">
      <w:pPr>
        <w:spacing w:after="0" w:line="276" w:lineRule="auto"/>
        <w:jc w:val="both"/>
        <w:rPr>
          <w:rFonts w:ascii="Arial" w:eastAsia="Times New Roman" w:hAnsi="Arial" w:cs="Arial"/>
          <w:color w:val="000000"/>
          <w:kern w:val="0"/>
          <w:sz w:val="24"/>
          <w:szCs w:val="24"/>
          <w:lang w:eastAsia="pt-BR"/>
          <w14:ligatures w14:val="none"/>
        </w:rPr>
      </w:pPr>
    </w:p>
    <w:p w14:paraId="6A412E70" w14:textId="77777777" w:rsidR="00BE2990" w:rsidRDefault="006B4841" w:rsidP="00BE2990">
      <w:pPr>
        <w:spacing w:after="0" w:line="276" w:lineRule="auto"/>
        <w:jc w:val="center"/>
        <w:rPr>
          <w:rFonts w:ascii="Arial" w:hAnsi="Arial" w:cs="Arial"/>
          <w:b/>
          <w:bCs/>
          <w:color w:val="000000"/>
          <w:sz w:val="24"/>
          <w:szCs w:val="24"/>
        </w:rPr>
      </w:pPr>
      <w:r w:rsidRPr="006B4841">
        <w:rPr>
          <w:rFonts w:ascii="Arial" w:hAnsi="Arial" w:cs="Arial"/>
          <w:b/>
          <w:bCs/>
          <w:color w:val="000000"/>
          <w:sz w:val="24"/>
          <w:szCs w:val="24"/>
        </w:rPr>
        <w:t>Seção I</w:t>
      </w:r>
      <w:r w:rsidR="00367042">
        <w:rPr>
          <w:rFonts w:ascii="Arial" w:hAnsi="Arial" w:cs="Arial"/>
          <w:b/>
          <w:bCs/>
          <w:color w:val="000000"/>
          <w:sz w:val="24"/>
          <w:szCs w:val="24"/>
        </w:rPr>
        <w:t>I</w:t>
      </w:r>
    </w:p>
    <w:p w14:paraId="5064F7B4" w14:textId="43D55596" w:rsidR="006B4841" w:rsidRDefault="006B4841" w:rsidP="00BE2990">
      <w:pPr>
        <w:spacing w:after="0" w:line="276" w:lineRule="auto"/>
        <w:jc w:val="center"/>
        <w:rPr>
          <w:rFonts w:ascii="Arial" w:hAnsi="Arial" w:cs="Arial"/>
          <w:b/>
          <w:bCs/>
          <w:color w:val="000000"/>
          <w:sz w:val="24"/>
          <w:szCs w:val="24"/>
        </w:rPr>
      </w:pPr>
      <w:r w:rsidRPr="006B4841">
        <w:rPr>
          <w:rFonts w:ascii="Arial" w:hAnsi="Arial" w:cs="Arial"/>
          <w:b/>
          <w:bCs/>
          <w:color w:val="000000"/>
          <w:sz w:val="24"/>
          <w:szCs w:val="24"/>
        </w:rPr>
        <w:t xml:space="preserve">Do </w:t>
      </w:r>
      <w:r>
        <w:rPr>
          <w:rFonts w:ascii="Arial" w:hAnsi="Arial" w:cs="Arial"/>
          <w:b/>
          <w:bCs/>
          <w:color w:val="000000"/>
          <w:sz w:val="24"/>
          <w:szCs w:val="24"/>
        </w:rPr>
        <w:t>Sujeito P</w:t>
      </w:r>
      <w:r w:rsidR="00367042">
        <w:rPr>
          <w:rFonts w:ascii="Arial" w:hAnsi="Arial" w:cs="Arial"/>
          <w:b/>
          <w:bCs/>
          <w:color w:val="000000"/>
          <w:sz w:val="24"/>
          <w:szCs w:val="24"/>
        </w:rPr>
        <w:t>a</w:t>
      </w:r>
      <w:r>
        <w:rPr>
          <w:rFonts w:ascii="Arial" w:hAnsi="Arial" w:cs="Arial"/>
          <w:b/>
          <w:bCs/>
          <w:color w:val="000000"/>
          <w:sz w:val="24"/>
          <w:szCs w:val="24"/>
        </w:rPr>
        <w:t>ssivo</w:t>
      </w:r>
    </w:p>
    <w:p w14:paraId="39278440" w14:textId="77777777" w:rsidR="00BE2990" w:rsidRPr="006B4841" w:rsidRDefault="00BE2990" w:rsidP="00BE2990">
      <w:pPr>
        <w:spacing w:after="0" w:line="276" w:lineRule="auto"/>
        <w:rPr>
          <w:rFonts w:ascii="Arial" w:hAnsi="Arial" w:cs="Arial"/>
          <w:b/>
          <w:bCs/>
          <w:color w:val="000000"/>
          <w:sz w:val="24"/>
          <w:szCs w:val="24"/>
        </w:rPr>
      </w:pPr>
    </w:p>
    <w:p w14:paraId="4531FB55" w14:textId="77777777" w:rsidR="00367042" w:rsidRPr="00367042" w:rsidRDefault="006B4841" w:rsidP="00BE2990">
      <w:pPr>
        <w:spacing w:after="0" w:line="276" w:lineRule="auto"/>
        <w:jc w:val="both"/>
        <w:rPr>
          <w:rFonts w:ascii="Arial" w:eastAsia="Times New Roman" w:hAnsi="Arial" w:cs="Arial"/>
          <w:color w:val="000000"/>
          <w:kern w:val="0"/>
          <w:sz w:val="24"/>
          <w:szCs w:val="24"/>
          <w:lang w:eastAsia="pt-BR"/>
          <w14:ligatures w14:val="none"/>
        </w:rPr>
      </w:pPr>
      <w:r w:rsidRPr="006B4841">
        <w:rPr>
          <w:rFonts w:ascii="Arial" w:eastAsia="Times New Roman" w:hAnsi="Arial" w:cs="Arial"/>
          <w:b/>
          <w:bCs/>
          <w:color w:val="000000"/>
          <w:kern w:val="0"/>
          <w:sz w:val="24"/>
          <w:szCs w:val="24"/>
          <w:lang w:eastAsia="pt-BR"/>
          <w14:ligatures w14:val="none"/>
        </w:rPr>
        <w:t xml:space="preserve">Art. </w:t>
      </w:r>
      <w:r w:rsidRPr="00367042">
        <w:rPr>
          <w:rFonts w:ascii="Arial" w:eastAsia="Times New Roman" w:hAnsi="Arial" w:cs="Arial"/>
          <w:b/>
          <w:bCs/>
          <w:color w:val="000000"/>
          <w:kern w:val="0"/>
          <w:sz w:val="24"/>
          <w:szCs w:val="24"/>
          <w:lang w:eastAsia="pt-BR"/>
          <w14:ligatures w14:val="none"/>
        </w:rPr>
        <w:t>3</w:t>
      </w:r>
      <w:r w:rsidRPr="006B4841">
        <w:rPr>
          <w:rFonts w:ascii="Arial" w:eastAsia="Times New Roman" w:hAnsi="Arial" w:cs="Arial"/>
          <w:b/>
          <w:bCs/>
          <w:color w:val="000000"/>
          <w:kern w:val="0"/>
          <w:sz w:val="24"/>
          <w:szCs w:val="24"/>
          <w:lang w:eastAsia="pt-BR"/>
          <w14:ligatures w14:val="none"/>
        </w:rPr>
        <w:t xml:space="preserve">. </w:t>
      </w:r>
      <w:r w:rsidR="00367042" w:rsidRPr="00367042">
        <w:rPr>
          <w:rFonts w:ascii="Arial" w:eastAsia="Times New Roman" w:hAnsi="Arial" w:cs="Arial"/>
          <w:color w:val="000000"/>
          <w:kern w:val="0"/>
          <w:sz w:val="24"/>
          <w:szCs w:val="24"/>
          <w:lang w:eastAsia="pt-BR"/>
          <w14:ligatures w14:val="none"/>
        </w:rPr>
        <w:t>O sujeito passivo da contribuição é o proprietário, o titular do domínio útil ou o possuidor, a qualquer título, de imóvel, situado no território do Município.</w:t>
      </w:r>
    </w:p>
    <w:p w14:paraId="71388DEE" w14:textId="77777777" w:rsidR="006B4841" w:rsidRPr="006B4841" w:rsidRDefault="006B4841" w:rsidP="00BE2990">
      <w:pPr>
        <w:spacing w:after="0" w:line="276" w:lineRule="auto"/>
        <w:jc w:val="both"/>
        <w:rPr>
          <w:rFonts w:ascii="Arial" w:eastAsia="Times New Roman" w:hAnsi="Arial" w:cs="Arial"/>
          <w:color w:val="000000"/>
          <w:kern w:val="0"/>
          <w:sz w:val="24"/>
          <w:szCs w:val="24"/>
          <w:lang w:eastAsia="pt-BR"/>
          <w14:ligatures w14:val="none"/>
        </w:rPr>
      </w:pPr>
      <w:r w:rsidRPr="006B4841">
        <w:rPr>
          <w:rFonts w:ascii="Arial" w:eastAsia="Times New Roman" w:hAnsi="Arial" w:cs="Arial"/>
          <w:b/>
          <w:bCs/>
          <w:color w:val="000000"/>
          <w:kern w:val="0"/>
          <w:sz w:val="24"/>
          <w:szCs w:val="24"/>
          <w:lang w:eastAsia="pt-BR"/>
          <w14:ligatures w14:val="none"/>
        </w:rPr>
        <w:t xml:space="preserve">§ 1º </w:t>
      </w:r>
      <w:r w:rsidRPr="006B4841">
        <w:rPr>
          <w:rFonts w:ascii="Arial" w:eastAsia="Times New Roman" w:hAnsi="Arial" w:cs="Arial"/>
          <w:color w:val="000000"/>
          <w:kern w:val="0"/>
          <w:sz w:val="24"/>
          <w:szCs w:val="24"/>
          <w:lang w:eastAsia="pt-BR"/>
          <w14:ligatures w14:val="none"/>
        </w:rPr>
        <w:t>É sujeito passivo solidário da COSIP, o locatário, o comodatário ou possuidor a qualquer título, de imóvel, edificado ou não, situado no território do Município.</w:t>
      </w:r>
    </w:p>
    <w:p w14:paraId="4FC87168" w14:textId="11F3B62A" w:rsidR="00BE2990" w:rsidRDefault="006B4841" w:rsidP="00BE2990">
      <w:pPr>
        <w:spacing w:after="0" w:line="276" w:lineRule="auto"/>
        <w:jc w:val="both"/>
        <w:rPr>
          <w:rFonts w:ascii="Arial" w:eastAsia="Times New Roman" w:hAnsi="Arial" w:cs="Arial"/>
          <w:color w:val="000000"/>
          <w:kern w:val="0"/>
          <w:sz w:val="24"/>
          <w:szCs w:val="24"/>
          <w:lang w:eastAsia="pt-BR"/>
          <w14:ligatures w14:val="none"/>
        </w:rPr>
      </w:pPr>
      <w:r w:rsidRPr="006B4841">
        <w:rPr>
          <w:rFonts w:ascii="Arial" w:eastAsia="Times New Roman" w:hAnsi="Arial" w:cs="Arial"/>
          <w:b/>
          <w:bCs/>
          <w:color w:val="000000"/>
          <w:kern w:val="0"/>
          <w:sz w:val="24"/>
          <w:szCs w:val="24"/>
          <w:lang w:eastAsia="pt-BR"/>
          <w14:ligatures w14:val="none"/>
        </w:rPr>
        <w:t xml:space="preserve">§ 2º </w:t>
      </w:r>
      <w:r w:rsidRPr="006B4841">
        <w:rPr>
          <w:rFonts w:ascii="Arial" w:eastAsia="Times New Roman" w:hAnsi="Arial" w:cs="Arial"/>
          <w:color w:val="000000"/>
          <w:kern w:val="0"/>
          <w:sz w:val="24"/>
          <w:szCs w:val="24"/>
          <w:lang w:eastAsia="pt-BR"/>
          <w14:ligatures w14:val="none"/>
        </w:rPr>
        <w:t>O lançamento da contribuição poderá ser feito indicando como obrigado quaisquer dos sujeitos passivos solidários.</w:t>
      </w:r>
    </w:p>
    <w:p w14:paraId="1BA3F2BB" w14:textId="77777777" w:rsidR="00BE2990" w:rsidRDefault="00BE2990" w:rsidP="00BE2990">
      <w:pPr>
        <w:spacing w:after="0" w:line="276" w:lineRule="auto"/>
        <w:jc w:val="both"/>
        <w:rPr>
          <w:rFonts w:ascii="Arial" w:eastAsia="Times New Roman" w:hAnsi="Arial" w:cs="Arial"/>
          <w:color w:val="000000"/>
          <w:kern w:val="0"/>
          <w:sz w:val="24"/>
          <w:szCs w:val="24"/>
          <w:lang w:eastAsia="pt-BR"/>
          <w14:ligatures w14:val="none"/>
        </w:rPr>
      </w:pPr>
    </w:p>
    <w:p w14:paraId="1CBFDB9C" w14:textId="77777777" w:rsidR="00BE2990" w:rsidRDefault="00367042" w:rsidP="00BE2990">
      <w:pPr>
        <w:spacing w:after="0" w:line="276" w:lineRule="auto"/>
        <w:jc w:val="center"/>
        <w:rPr>
          <w:rFonts w:ascii="Arial" w:hAnsi="Arial" w:cs="Arial"/>
          <w:b/>
          <w:bCs/>
          <w:color w:val="000000"/>
          <w:sz w:val="24"/>
          <w:szCs w:val="24"/>
        </w:rPr>
      </w:pPr>
      <w:r w:rsidRPr="006B4841">
        <w:rPr>
          <w:rFonts w:ascii="Arial" w:hAnsi="Arial" w:cs="Arial"/>
          <w:b/>
          <w:bCs/>
          <w:color w:val="000000"/>
          <w:sz w:val="24"/>
          <w:szCs w:val="24"/>
        </w:rPr>
        <w:t>Seção I</w:t>
      </w:r>
      <w:r>
        <w:rPr>
          <w:rFonts w:ascii="Arial" w:hAnsi="Arial" w:cs="Arial"/>
          <w:b/>
          <w:bCs/>
          <w:color w:val="000000"/>
          <w:sz w:val="24"/>
          <w:szCs w:val="24"/>
        </w:rPr>
        <w:t>II</w:t>
      </w:r>
    </w:p>
    <w:p w14:paraId="00E37FBE" w14:textId="39841FAC" w:rsidR="00367042" w:rsidRDefault="00367042" w:rsidP="00BE2990">
      <w:pPr>
        <w:spacing w:after="0" w:line="276" w:lineRule="auto"/>
        <w:jc w:val="center"/>
        <w:rPr>
          <w:rFonts w:ascii="Arial" w:hAnsi="Arial" w:cs="Arial"/>
          <w:b/>
          <w:bCs/>
          <w:color w:val="000000"/>
          <w:sz w:val="24"/>
          <w:szCs w:val="24"/>
        </w:rPr>
      </w:pPr>
      <w:r w:rsidRPr="00367042">
        <w:rPr>
          <w:rFonts w:ascii="Arial" w:hAnsi="Arial" w:cs="Arial"/>
          <w:b/>
          <w:bCs/>
          <w:color w:val="000000"/>
          <w:sz w:val="24"/>
          <w:szCs w:val="24"/>
        </w:rPr>
        <w:t>Alíquota e Base de Cálculo</w:t>
      </w:r>
    </w:p>
    <w:p w14:paraId="1D243AE2" w14:textId="77777777" w:rsidR="00BE2990" w:rsidRPr="006B4841" w:rsidRDefault="00BE2990" w:rsidP="00BE2990">
      <w:pPr>
        <w:spacing w:after="0" w:line="276" w:lineRule="auto"/>
        <w:rPr>
          <w:rFonts w:ascii="Arial" w:hAnsi="Arial" w:cs="Arial"/>
          <w:b/>
          <w:bCs/>
          <w:color w:val="000000"/>
          <w:sz w:val="24"/>
          <w:szCs w:val="24"/>
        </w:rPr>
      </w:pPr>
    </w:p>
    <w:p w14:paraId="7BC47661" w14:textId="5BE909D6" w:rsidR="00367042" w:rsidRPr="006B4841" w:rsidRDefault="006B4841" w:rsidP="00BE2990">
      <w:pPr>
        <w:spacing w:after="0" w:line="276" w:lineRule="auto"/>
        <w:jc w:val="both"/>
        <w:rPr>
          <w:rFonts w:ascii="Arial" w:eastAsia="Times New Roman" w:hAnsi="Arial" w:cs="Arial"/>
          <w:color w:val="000000"/>
          <w:kern w:val="0"/>
          <w:sz w:val="24"/>
          <w:szCs w:val="24"/>
          <w:lang w:eastAsia="pt-BR"/>
          <w14:ligatures w14:val="none"/>
        </w:rPr>
      </w:pPr>
      <w:r w:rsidRPr="006B4841">
        <w:rPr>
          <w:rFonts w:ascii="Arial" w:eastAsia="Times New Roman" w:hAnsi="Arial" w:cs="Arial"/>
          <w:b/>
          <w:bCs/>
          <w:color w:val="000000"/>
          <w:kern w:val="0"/>
          <w:sz w:val="24"/>
          <w:szCs w:val="24"/>
          <w:lang w:eastAsia="pt-BR"/>
          <w14:ligatures w14:val="none"/>
        </w:rPr>
        <w:lastRenderedPageBreak/>
        <w:t xml:space="preserve">Art. </w:t>
      </w:r>
      <w:r w:rsidR="00367042">
        <w:rPr>
          <w:rFonts w:ascii="Arial" w:eastAsia="Times New Roman" w:hAnsi="Arial" w:cs="Arial"/>
          <w:b/>
          <w:bCs/>
          <w:color w:val="000000"/>
          <w:kern w:val="0"/>
          <w:sz w:val="24"/>
          <w:szCs w:val="24"/>
          <w:lang w:eastAsia="pt-BR"/>
          <w14:ligatures w14:val="none"/>
        </w:rPr>
        <w:t>4</w:t>
      </w:r>
      <w:r w:rsidRPr="006B4841">
        <w:rPr>
          <w:rFonts w:ascii="Arial" w:eastAsia="Times New Roman" w:hAnsi="Arial" w:cs="Arial"/>
          <w:b/>
          <w:bCs/>
          <w:color w:val="000000"/>
          <w:kern w:val="0"/>
          <w:sz w:val="24"/>
          <w:szCs w:val="24"/>
          <w:lang w:eastAsia="pt-BR"/>
          <w14:ligatures w14:val="none"/>
        </w:rPr>
        <w:t xml:space="preserve">. </w:t>
      </w:r>
      <w:r w:rsidR="00367042" w:rsidRPr="00367042">
        <w:rPr>
          <w:rFonts w:ascii="Arial" w:eastAsia="Times New Roman" w:hAnsi="Arial" w:cs="Arial"/>
          <w:color w:val="000000"/>
          <w:kern w:val="0"/>
          <w:sz w:val="24"/>
          <w:szCs w:val="24"/>
          <w:lang w:eastAsia="pt-BR"/>
          <w14:ligatures w14:val="none"/>
        </w:rPr>
        <w:t>Para os contribuintes definidos no artigo 3 e respectivo § 1º, no que se referir a imóveis edificados ou não e que tenham ligação privada e regular de energia elétrica no município, a base de cálculo da Contribuição será o consumo da fatura de energia elétrica e a aplicação da sua respectiva tarifa de energia elétrica, incluindo impostos.</w:t>
      </w:r>
    </w:p>
    <w:p w14:paraId="04475FB7" w14:textId="42301A5E" w:rsidR="00367042" w:rsidRDefault="006B4841" w:rsidP="00BE2990">
      <w:pPr>
        <w:spacing w:after="0" w:line="276" w:lineRule="auto"/>
        <w:jc w:val="both"/>
        <w:rPr>
          <w:rFonts w:ascii="Arial" w:eastAsia="Times New Roman" w:hAnsi="Arial" w:cs="Arial"/>
          <w:color w:val="000000"/>
          <w:kern w:val="0"/>
          <w:sz w:val="24"/>
          <w:szCs w:val="24"/>
          <w:lang w:eastAsia="pt-BR"/>
          <w14:ligatures w14:val="none"/>
        </w:rPr>
      </w:pPr>
      <w:r w:rsidRPr="006B4841">
        <w:rPr>
          <w:rFonts w:ascii="Arial" w:eastAsia="Times New Roman" w:hAnsi="Arial" w:cs="Arial"/>
          <w:b/>
          <w:bCs/>
          <w:color w:val="000000"/>
          <w:kern w:val="0"/>
          <w:sz w:val="24"/>
          <w:szCs w:val="24"/>
          <w:lang w:eastAsia="pt-BR"/>
          <w14:ligatures w14:val="none"/>
        </w:rPr>
        <w:t xml:space="preserve">Art. </w:t>
      </w:r>
      <w:r w:rsidR="00367042">
        <w:rPr>
          <w:rFonts w:ascii="Arial" w:eastAsia="Times New Roman" w:hAnsi="Arial" w:cs="Arial"/>
          <w:b/>
          <w:bCs/>
          <w:color w:val="000000"/>
          <w:kern w:val="0"/>
          <w:sz w:val="24"/>
          <w:szCs w:val="24"/>
          <w:lang w:eastAsia="pt-BR"/>
          <w14:ligatures w14:val="none"/>
        </w:rPr>
        <w:t>5</w:t>
      </w:r>
      <w:r w:rsidRPr="006B4841">
        <w:rPr>
          <w:rFonts w:ascii="Arial" w:eastAsia="Times New Roman" w:hAnsi="Arial" w:cs="Arial"/>
          <w:b/>
          <w:bCs/>
          <w:color w:val="000000"/>
          <w:kern w:val="0"/>
          <w:sz w:val="24"/>
          <w:szCs w:val="24"/>
          <w:lang w:eastAsia="pt-BR"/>
          <w14:ligatures w14:val="none"/>
        </w:rPr>
        <w:t xml:space="preserve">. </w:t>
      </w:r>
      <w:r w:rsidR="00367042" w:rsidRPr="00367042">
        <w:rPr>
          <w:rFonts w:ascii="Arial" w:eastAsia="Times New Roman" w:hAnsi="Arial" w:cs="Arial"/>
          <w:color w:val="000000"/>
          <w:kern w:val="0"/>
          <w:sz w:val="24"/>
          <w:szCs w:val="24"/>
          <w:lang w:eastAsia="pt-BR"/>
          <w14:ligatures w14:val="none"/>
        </w:rPr>
        <w:t xml:space="preserve">Para fins de atendimento ao princípio da capacidade econômica do contribuinte, o valor da Contribuição para Custeio do Serviço de Iluminação Pública - COSIP, relativamente a imóveis ligados diretamente à rede de distribuição de energia elétrica, deverá ser calculado conforme </w:t>
      </w:r>
      <w:r w:rsidR="009127FB" w:rsidRPr="00BE2990">
        <w:rPr>
          <w:rFonts w:ascii="Arial" w:eastAsia="Times New Roman" w:hAnsi="Arial" w:cs="Arial"/>
          <w:color w:val="000000" w:themeColor="text1"/>
          <w:kern w:val="0"/>
          <w:sz w:val="24"/>
          <w:szCs w:val="24"/>
          <w:lang w:eastAsia="pt-BR"/>
          <w14:ligatures w14:val="none"/>
        </w:rPr>
        <w:t>Tabela</w:t>
      </w:r>
      <w:r w:rsidR="00367042" w:rsidRPr="00BE2990">
        <w:rPr>
          <w:rFonts w:ascii="Arial" w:eastAsia="Times New Roman" w:hAnsi="Arial" w:cs="Arial"/>
          <w:color w:val="000000" w:themeColor="text1"/>
          <w:kern w:val="0"/>
          <w:sz w:val="24"/>
          <w:szCs w:val="24"/>
          <w:lang w:eastAsia="pt-BR"/>
          <w14:ligatures w14:val="none"/>
        </w:rPr>
        <w:t xml:space="preserve"> I</w:t>
      </w:r>
      <w:r w:rsidR="00155D23" w:rsidRPr="00BE2990">
        <w:rPr>
          <w:rFonts w:ascii="Arial" w:eastAsia="Times New Roman" w:hAnsi="Arial" w:cs="Arial"/>
          <w:color w:val="000000" w:themeColor="text1"/>
          <w:kern w:val="0"/>
          <w:sz w:val="24"/>
          <w:szCs w:val="24"/>
          <w:lang w:eastAsia="pt-BR"/>
          <w14:ligatures w14:val="none"/>
        </w:rPr>
        <w:t xml:space="preserve"> do </w:t>
      </w:r>
      <w:r w:rsidR="00155D23" w:rsidRPr="00BE2990">
        <w:rPr>
          <w:rFonts w:ascii="Arial" w:eastAsia="Times New Roman" w:hAnsi="Arial" w:cs="Arial"/>
          <w:b/>
          <w:bCs/>
          <w:color w:val="000000" w:themeColor="text1"/>
          <w:kern w:val="0"/>
          <w:sz w:val="24"/>
          <w:szCs w:val="24"/>
          <w:lang w:eastAsia="pt-BR"/>
          <w14:ligatures w14:val="none"/>
        </w:rPr>
        <w:t>Anexo I</w:t>
      </w:r>
      <w:r w:rsidR="00367042" w:rsidRPr="00BE2990">
        <w:rPr>
          <w:rFonts w:ascii="Arial" w:eastAsia="Times New Roman" w:hAnsi="Arial" w:cs="Arial"/>
          <w:color w:val="000000" w:themeColor="text1"/>
          <w:kern w:val="0"/>
          <w:sz w:val="24"/>
          <w:szCs w:val="24"/>
          <w:lang w:eastAsia="pt-BR"/>
          <w14:ligatures w14:val="none"/>
        </w:rPr>
        <w:t>.</w:t>
      </w:r>
    </w:p>
    <w:p w14:paraId="32038B1F" w14:textId="5CC2F5FC" w:rsidR="00367042" w:rsidRDefault="004B4145" w:rsidP="00BE2990">
      <w:pPr>
        <w:spacing w:after="0" w:line="276" w:lineRule="auto"/>
        <w:jc w:val="both"/>
        <w:rPr>
          <w:rFonts w:ascii="Arial" w:eastAsia="Times New Roman" w:hAnsi="Arial" w:cs="Arial"/>
          <w:color w:val="000000"/>
          <w:kern w:val="0"/>
          <w:sz w:val="24"/>
          <w:szCs w:val="24"/>
          <w:lang w:eastAsia="pt-BR"/>
          <w14:ligatures w14:val="none"/>
        </w:rPr>
      </w:pPr>
      <w:r>
        <w:rPr>
          <w:rFonts w:ascii="Arial" w:eastAsia="Times New Roman" w:hAnsi="Arial" w:cs="Arial"/>
          <w:b/>
          <w:bCs/>
          <w:color w:val="000000"/>
          <w:kern w:val="0"/>
          <w:sz w:val="24"/>
          <w:szCs w:val="24"/>
          <w:lang w:eastAsia="pt-BR"/>
          <w14:ligatures w14:val="none"/>
        </w:rPr>
        <w:t>parágrafo</w:t>
      </w:r>
      <w:r w:rsidR="00367042" w:rsidRPr="00367042">
        <w:rPr>
          <w:rFonts w:ascii="Arial" w:eastAsia="Times New Roman" w:hAnsi="Arial" w:cs="Arial"/>
          <w:b/>
          <w:bCs/>
          <w:color w:val="000000"/>
          <w:kern w:val="0"/>
          <w:sz w:val="24"/>
          <w:szCs w:val="24"/>
          <w:lang w:eastAsia="pt-BR"/>
          <w14:ligatures w14:val="none"/>
        </w:rPr>
        <w:t xml:space="preserve"> </w:t>
      </w:r>
      <w:r>
        <w:rPr>
          <w:rFonts w:ascii="Arial" w:eastAsia="Times New Roman" w:hAnsi="Arial" w:cs="Arial"/>
          <w:b/>
          <w:bCs/>
          <w:color w:val="000000"/>
          <w:kern w:val="0"/>
          <w:sz w:val="24"/>
          <w:szCs w:val="24"/>
          <w:lang w:eastAsia="pt-BR"/>
          <w14:ligatures w14:val="none"/>
        </w:rPr>
        <w:t>ú</w:t>
      </w:r>
      <w:r w:rsidR="00367042" w:rsidRPr="00367042">
        <w:rPr>
          <w:rFonts w:ascii="Arial" w:eastAsia="Times New Roman" w:hAnsi="Arial" w:cs="Arial"/>
          <w:b/>
          <w:bCs/>
          <w:color w:val="000000"/>
          <w:kern w:val="0"/>
          <w:sz w:val="24"/>
          <w:szCs w:val="24"/>
          <w:lang w:eastAsia="pt-BR"/>
          <w14:ligatures w14:val="none"/>
        </w:rPr>
        <w:t>nico</w:t>
      </w:r>
      <w:r w:rsidR="00367042" w:rsidRPr="00367042">
        <w:rPr>
          <w:rFonts w:ascii="Arial" w:eastAsia="Times New Roman" w:hAnsi="Arial" w:cs="Arial"/>
          <w:color w:val="000000"/>
          <w:kern w:val="0"/>
          <w:sz w:val="24"/>
          <w:szCs w:val="24"/>
          <w:lang w:eastAsia="pt-BR"/>
          <w14:ligatures w14:val="none"/>
        </w:rPr>
        <w:t xml:space="preserve"> – Para os imóveis que </w:t>
      </w:r>
      <w:r w:rsidR="00367042" w:rsidRPr="00367042">
        <w:rPr>
          <w:rFonts w:ascii="Arial" w:eastAsia="Times New Roman" w:hAnsi="Arial" w:cs="Arial"/>
          <w:b/>
          <w:bCs/>
          <w:color w:val="000000"/>
          <w:kern w:val="0"/>
          <w:sz w:val="24"/>
          <w:szCs w:val="24"/>
          <w:u w:val="single"/>
          <w:lang w:eastAsia="pt-BR"/>
          <w14:ligatures w14:val="none"/>
        </w:rPr>
        <w:t>não</w:t>
      </w:r>
      <w:r w:rsidR="00367042">
        <w:rPr>
          <w:rFonts w:ascii="Arial" w:eastAsia="Times New Roman" w:hAnsi="Arial" w:cs="Arial"/>
          <w:color w:val="000000"/>
          <w:kern w:val="0"/>
          <w:sz w:val="24"/>
          <w:szCs w:val="24"/>
          <w:lang w:eastAsia="pt-BR"/>
          <w14:ligatures w14:val="none"/>
        </w:rPr>
        <w:t xml:space="preserve"> </w:t>
      </w:r>
      <w:r w:rsidR="00367042" w:rsidRPr="00367042">
        <w:rPr>
          <w:rFonts w:ascii="Arial" w:eastAsia="Times New Roman" w:hAnsi="Arial" w:cs="Arial"/>
          <w:color w:val="000000"/>
          <w:kern w:val="0"/>
          <w:sz w:val="24"/>
          <w:szCs w:val="24"/>
          <w:lang w:eastAsia="pt-BR"/>
          <w14:ligatures w14:val="none"/>
        </w:rPr>
        <w:t>tenham ligação privada e regular de energia elétrica no município</w:t>
      </w:r>
      <w:r w:rsidR="00367042">
        <w:rPr>
          <w:rFonts w:ascii="Arial" w:eastAsia="Times New Roman" w:hAnsi="Arial" w:cs="Arial"/>
          <w:color w:val="000000"/>
          <w:kern w:val="0"/>
          <w:sz w:val="24"/>
          <w:szCs w:val="24"/>
          <w:lang w:eastAsia="pt-BR"/>
          <w14:ligatures w14:val="none"/>
        </w:rPr>
        <w:t>,</w:t>
      </w:r>
      <w:r w:rsidR="00367042" w:rsidRPr="00367042">
        <w:rPr>
          <w:rFonts w:ascii="Arial" w:eastAsia="Times New Roman" w:hAnsi="Arial" w:cs="Arial"/>
          <w:color w:val="000000"/>
          <w:kern w:val="0"/>
          <w:sz w:val="24"/>
          <w:szCs w:val="24"/>
          <w:lang w:eastAsia="pt-BR"/>
          <w14:ligatures w14:val="none"/>
        </w:rPr>
        <w:t xml:space="preserve"> o valor da contribuição será equivalente a </w:t>
      </w:r>
      <w:r w:rsidR="00367042">
        <w:rPr>
          <w:rFonts w:ascii="Arial" w:eastAsia="Times New Roman" w:hAnsi="Arial" w:cs="Arial"/>
          <w:color w:val="000000"/>
          <w:kern w:val="0"/>
          <w:sz w:val="24"/>
          <w:szCs w:val="24"/>
          <w:lang w:eastAsia="pt-BR"/>
          <w14:ligatures w14:val="none"/>
        </w:rPr>
        <w:t>19</w:t>
      </w:r>
      <w:r w:rsidR="00367042" w:rsidRPr="00367042">
        <w:rPr>
          <w:rFonts w:ascii="Arial" w:eastAsia="Times New Roman" w:hAnsi="Arial" w:cs="Arial"/>
          <w:color w:val="000000"/>
          <w:kern w:val="0"/>
          <w:sz w:val="24"/>
          <w:szCs w:val="24"/>
          <w:lang w:eastAsia="pt-BR"/>
          <w14:ligatures w14:val="none"/>
        </w:rPr>
        <w:t>0 kWh</w:t>
      </w:r>
      <w:r w:rsidR="00367042">
        <w:rPr>
          <w:rFonts w:ascii="Arial" w:eastAsia="Times New Roman" w:hAnsi="Arial" w:cs="Arial"/>
          <w:color w:val="000000"/>
          <w:kern w:val="0"/>
          <w:sz w:val="24"/>
          <w:szCs w:val="24"/>
          <w:lang w:eastAsia="pt-BR"/>
          <w14:ligatures w14:val="none"/>
        </w:rPr>
        <w:t>, de acordo com a</w:t>
      </w:r>
      <w:r w:rsidR="00367042" w:rsidRPr="00367042">
        <w:rPr>
          <w:rFonts w:ascii="Arial" w:eastAsia="Times New Roman" w:hAnsi="Arial" w:cs="Arial"/>
          <w:color w:val="000000"/>
          <w:kern w:val="0"/>
          <w:sz w:val="24"/>
          <w:szCs w:val="24"/>
          <w:lang w:eastAsia="pt-BR"/>
          <w14:ligatures w14:val="none"/>
        </w:rPr>
        <w:t xml:space="preserve"> tarifa líquida B</w:t>
      </w:r>
      <w:r w:rsidR="00367042">
        <w:rPr>
          <w:rFonts w:ascii="Arial" w:eastAsia="Times New Roman" w:hAnsi="Arial" w:cs="Arial"/>
          <w:color w:val="000000"/>
          <w:kern w:val="0"/>
          <w:sz w:val="24"/>
          <w:szCs w:val="24"/>
          <w:lang w:eastAsia="pt-BR"/>
          <w14:ligatures w14:val="none"/>
        </w:rPr>
        <w:t>1</w:t>
      </w:r>
      <w:r w:rsidR="00367042" w:rsidRPr="00367042">
        <w:rPr>
          <w:rFonts w:ascii="Arial" w:eastAsia="Times New Roman" w:hAnsi="Arial" w:cs="Arial"/>
          <w:color w:val="000000"/>
          <w:kern w:val="0"/>
          <w:sz w:val="24"/>
          <w:szCs w:val="24"/>
          <w:lang w:eastAsia="pt-BR"/>
          <w14:ligatures w14:val="none"/>
        </w:rPr>
        <w:t xml:space="preserve"> (</w:t>
      </w:r>
      <w:r w:rsidR="00367042">
        <w:rPr>
          <w:rFonts w:ascii="Arial" w:eastAsia="Times New Roman" w:hAnsi="Arial" w:cs="Arial"/>
          <w:color w:val="000000"/>
          <w:kern w:val="0"/>
          <w:sz w:val="24"/>
          <w:szCs w:val="24"/>
          <w:lang w:eastAsia="pt-BR"/>
          <w14:ligatures w14:val="none"/>
        </w:rPr>
        <w:t>residencial</w:t>
      </w:r>
      <w:r w:rsidR="00367042" w:rsidRPr="00367042">
        <w:rPr>
          <w:rFonts w:ascii="Arial" w:eastAsia="Times New Roman" w:hAnsi="Arial" w:cs="Arial"/>
          <w:color w:val="000000"/>
          <w:kern w:val="0"/>
          <w:sz w:val="24"/>
          <w:szCs w:val="24"/>
          <w:lang w:eastAsia="pt-BR"/>
          <w14:ligatures w14:val="none"/>
        </w:rPr>
        <w:t>).</w:t>
      </w:r>
    </w:p>
    <w:p w14:paraId="25DD335E" w14:textId="77777777" w:rsidR="00BE2990" w:rsidRPr="00367042" w:rsidRDefault="00BE2990" w:rsidP="00BE2990">
      <w:pPr>
        <w:spacing w:after="0" w:line="276" w:lineRule="auto"/>
        <w:jc w:val="both"/>
        <w:rPr>
          <w:rFonts w:ascii="Arial" w:eastAsia="Times New Roman" w:hAnsi="Arial" w:cs="Arial"/>
          <w:color w:val="000000"/>
          <w:kern w:val="0"/>
          <w:sz w:val="24"/>
          <w:szCs w:val="24"/>
          <w:lang w:eastAsia="pt-BR"/>
          <w14:ligatures w14:val="none"/>
        </w:rPr>
      </w:pPr>
    </w:p>
    <w:p w14:paraId="2BDB5AF9" w14:textId="77777777" w:rsidR="00BE2990" w:rsidRDefault="00367042" w:rsidP="00BE2990">
      <w:pPr>
        <w:spacing w:after="0" w:line="276" w:lineRule="auto"/>
        <w:jc w:val="center"/>
        <w:rPr>
          <w:rFonts w:ascii="Arial" w:hAnsi="Arial" w:cs="Arial"/>
          <w:b/>
          <w:bCs/>
          <w:color w:val="000000"/>
          <w:sz w:val="24"/>
          <w:szCs w:val="24"/>
        </w:rPr>
      </w:pPr>
      <w:r w:rsidRPr="006B4841">
        <w:rPr>
          <w:rFonts w:ascii="Arial" w:hAnsi="Arial" w:cs="Arial"/>
          <w:b/>
          <w:bCs/>
          <w:color w:val="000000"/>
          <w:sz w:val="24"/>
          <w:szCs w:val="24"/>
        </w:rPr>
        <w:t>Seção I</w:t>
      </w:r>
      <w:r>
        <w:rPr>
          <w:rFonts w:ascii="Arial" w:hAnsi="Arial" w:cs="Arial"/>
          <w:b/>
          <w:bCs/>
          <w:color w:val="000000"/>
          <w:sz w:val="24"/>
          <w:szCs w:val="24"/>
        </w:rPr>
        <w:t>V</w:t>
      </w:r>
    </w:p>
    <w:p w14:paraId="05DDAA7A" w14:textId="09200137" w:rsidR="00367042" w:rsidRDefault="00367042" w:rsidP="00BE2990">
      <w:pPr>
        <w:spacing w:after="0" w:line="276" w:lineRule="auto"/>
        <w:jc w:val="center"/>
        <w:rPr>
          <w:rFonts w:ascii="Arial" w:hAnsi="Arial" w:cs="Arial"/>
          <w:b/>
          <w:bCs/>
          <w:color w:val="000000"/>
          <w:sz w:val="24"/>
          <w:szCs w:val="24"/>
        </w:rPr>
      </w:pPr>
      <w:r>
        <w:rPr>
          <w:rFonts w:ascii="Arial" w:hAnsi="Arial" w:cs="Arial"/>
          <w:b/>
          <w:bCs/>
          <w:color w:val="000000"/>
          <w:sz w:val="24"/>
          <w:szCs w:val="24"/>
        </w:rPr>
        <w:t>Lançamento</w:t>
      </w:r>
    </w:p>
    <w:p w14:paraId="702B9B7A" w14:textId="77777777" w:rsidR="00BE2990" w:rsidRPr="006B4841" w:rsidRDefault="00BE2990" w:rsidP="00BE2990">
      <w:pPr>
        <w:spacing w:after="0" w:line="276" w:lineRule="auto"/>
        <w:jc w:val="center"/>
        <w:rPr>
          <w:rFonts w:ascii="Arial" w:hAnsi="Arial" w:cs="Arial"/>
          <w:b/>
          <w:bCs/>
          <w:color w:val="000000"/>
          <w:sz w:val="24"/>
          <w:szCs w:val="24"/>
        </w:rPr>
      </w:pPr>
    </w:p>
    <w:p w14:paraId="22FEE4B8" w14:textId="23EAE76D" w:rsidR="006B4841" w:rsidRPr="00367042" w:rsidRDefault="006B4841" w:rsidP="00BE2990">
      <w:pPr>
        <w:spacing w:after="0" w:line="276" w:lineRule="auto"/>
        <w:jc w:val="both"/>
        <w:rPr>
          <w:rFonts w:ascii="Arial" w:eastAsia="Times New Roman" w:hAnsi="Arial" w:cs="Arial"/>
          <w:color w:val="000000"/>
          <w:kern w:val="0"/>
          <w:sz w:val="24"/>
          <w:szCs w:val="24"/>
          <w:lang w:eastAsia="pt-BR"/>
          <w14:ligatures w14:val="none"/>
        </w:rPr>
      </w:pPr>
      <w:r w:rsidRPr="006B4841">
        <w:rPr>
          <w:rFonts w:ascii="Arial" w:eastAsia="Times New Roman" w:hAnsi="Arial" w:cs="Arial"/>
          <w:b/>
          <w:bCs/>
          <w:color w:val="000000"/>
          <w:kern w:val="0"/>
          <w:sz w:val="24"/>
          <w:szCs w:val="24"/>
          <w:lang w:eastAsia="pt-BR"/>
          <w14:ligatures w14:val="none"/>
        </w:rPr>
        <w:t xml:space="preserve">Art. </w:t>
      </w:r>
      <w:r w:rsidR="00367042">
        <w:rPr>
          <w:rFonts w:ascii="Arial" w:eastAsia="Times New Roman" w:hAnsi="Arial" w:cs="Arial"/>
          <w:b/>
          <w:bCs/>
          <w:color w:val="000000"/>
          <w:kern w:val="0"/>
          <w:sz w:val="24"/>
          <w:szCs w:val="24"/>
          <w:lang w:eastAsia="pt-BR"/>
          <w14:ligatures w14:val="none"/>
        </w:rPr>
        <w:t>6</w:t>
      </w:r>
      <w:r w:rsidRPr="006B4841">
        <w:rPr>
          <w:rFonts w:ascii="Arial" w:eastAsia="Times New Roman" w:hAnsi="Arial" w:cs="Arial"/>
          <w:b/>
          <w:bCs/>
          <w:color w:val="000000"/>
          <w:kern w:val="0"/>
          <w:sz w:val="24"/>
          <w:szCs w:val="24"/>
          <w:lang w:eastAsia="pt-BR"/>
          <w14:ligatures w14:val="none"/>
        </w:rPr>
        <w:t xml:space="preserve">. </w:t>
      </w:r>
      <w:r w:rsidRPr="006B4841">
        <w:rPr>
          <w:rFonts w:ascii="Arial" w:eastAsia="Times New Roman" w:hAnsi="Arial" w:cs="Arial"/>
          <w:color w:val="000000"/>
          <w:kern w:val="0"/>
          <w:sz w:val="24"/>
          <w:szCs w:val="24"/>
          <w:lang w:eastAsia="pt-BR"/>
          <w14:ligatures w14:val="none"/>
        </w:rPr>
        <w:t xml:space="preserve">O valor da COSIP será lançado mensalmente para os imóveis que </w:t>
      </w:r>
      <w:r w:rsidRPr="00367042">
        <w:rPr>
          <w:rFonts w:ascii="Arial" w:eastAsia="Times New Roman" w:hAnsi="Arial" w:cs="Arial"/>
          <w:color w:val="000000"/>
          <w:kern w:val="0"/>
          <w:sz w:val="24"/>
          <w:szCs w:val="24"/>
          <w:lang w:eastAsia="pt-BR"/>
          <w14:ligatures w14:val="none"/>
        </w:rPr>
        <w:t>possuem ligação de energia elétrica e anualmente para os que não possuem.</w:t>
      </w:r>
    </w:p>
    <w:p w14:paraId="0BD0F7E1" w14:textId="77777777" w:rsidR="00367042" w:rsidRPr="00367042" w:rsidRDefault="00367042" w:rsidP="00BE2990">
      <w:pPr>
        <w:spacing w:after="0" w:line="276" w:lineRule="auto"/>
        <w:jc w:val="both"/>
        <w:rPr>
          <w:rFonts w:ascii="Arial" w:eastAsia="Times New Roman" w:hAnsi="Arial" w:cs="Arial"/>
          <w:color w:val="000000"/>
          <w:kern w:val="0"/>
          <w:sz w:val="24"/>
          <w:szCs w:val="24"/>
          <w:lang w:eastAsia="pt-BR"/>
          <w14:ligatures w14:val="none"/>
        </w:rPr>
      </w:pPr>
      <w:r w:rsidRPr="00367042">
        <w:rPr>
          <w:rFonts w:ascii="Arial" w:eastAsia="Times New Roman" w:hAnsi="Arial" w:cs="Arial"/>
          <w:b/>
          <w:bCs/>
          <w:color w:val="000000"/>
          <w:kern w:val="0"/>
          <w:sz w:val="24"/>
          <w:szCs w:val="24"/>
          <w:lang w:eastAsia="pt-BR"/>
          <w14:ligatures w14:val="none"/>
        </w:rPr>
        <w:t>§ 1º</w:t>
      </w:r>
      <w:r w:rsidRPr="00367042">
        <w:rPr>
          <w:rFonts w:ascii="Arial" w:eastAsia="Times New Roman" w:hAnsi="Arial" w:cs="Arial"/>
          <w:color w:val="000000"/>
          <w:kern w:val="0"/>
          <w:sz w:val="24"/>
          <w:szCs w:val="24"/>
          <w:lang w:eastAsia="pt-BR"/>
          <w14:ligatures w14:val="none"/>
        </w:rPr>
        <w:t xml:space="preserve"> O prazo para pagamento da COSIP é o mesmo do vencimento da nota fiscal/fatura de energia elétrica de cada unidade consumidora de energia elétrica.</w:t>
      </w:r>
    </w:p>
    <w:p w14:paraId="336972DD" w14:textId="0D0436DF" w:rsidR="00367042" w:rsidRPr="00367042" w:rsidRDefault="00367042" w:rsidP="00BE2990">
      <w:pPr>
        <w:spacing w:after="0" w:line="276" w:lineRule="auto"/>
        <w:jc w:val="both"/>
        <w:rPr>
          <w:rFonts w:ascii="Arial" w:eastAsia="Times New Roman" w:hAnsi="Arial" w:cs="Arial"/>
          <w:color w:val="000000"/>
          <w:kern w:val="0"/>
          <w:sz w:val="24"/>
          <w:szCs w:val="24"/>
          <w:lang w:eastAsia="pt-BR"/>
          <w14:ligatures w14:val="none"/>
        </w:rPr>
      </w:pPr>
      <w:r w:rsidRPr="00367042">
        <w:rPr>
          <w:rFonts w:ascii="Arial" w:eastAsia="Times New Roman" w:hAnsi="Arial" w:cs="Arial"/>
          <w:b/>
          <w:bCs/>
          <w:color w:val="000000"/>
          <w:kern w:val="0"/>
          <w:sz w:val="24"/>
          <w:szCs w:val="24"/>
          <w:lang w:eastAsia="pt-BR"/>
          <w14:ligatures w14:val="none"/>
        </w:rPr>
        <w:t>Art. 7.</w:t>
      </w:r>
      <w:r w:rsidRPr="00367042">
        <w:rPr>
          <w:rFonts w:ascii="Arial" w:eastAsia="Times New Roman" w:hAnsi="Arial" w:cs="Arial"/>
          <w:color w:val="000000"/>
          <w:kern w:val="0"/>
          <w:sz w:val="24"/>
          <w:szCs w:val="24"/>
          <w:lang w:eastAsia="pt-BR"/>
          <w14:ligatures w14:val="none"/>
        </w:rPr>
        <w:t xml:space="preserve"> O lançamento da COSIP será feito diretamente pelo Município, anualmente, juntamente com o IPTU ou por outro meio, da contribuição devida pelos proprietários, titulares do domínio útil e possuidores de imóveis que </w:t>
      </w:r>
      <w:r w:rsidRPr="00367042">
        <w:rPr>
          <w:rFonts w:ascii="Arial" w:eastAsia="Times New Roman" w:hAnsi="Arial" w:cs="Arial"/>
          <w:b/>
          <w:bCs/>
          <w:color w:val="000000"/>
          <w:kern w:val="0"/>
          <w:sz w:val="24"/>
          <w:szCs w:val="24"/>
          <w:u w:val="single"/>
          <w:lang w:eastAsia="pt-BR"/>
          <w14:ligatures w14:val="none"/>
        </w:rPr>
        <w:t>não</w:t>
      </w:r>
      <w:r>
        <w:rPr>
          <w:rFonts w:ascii="Arial" w:eastAsia="Times New Roman" w:hAnsi="Arial" w:cs="Arial"/>
          <w:color w:val="000000"/>
          <w:kern w:val="0"/>
          <w:sz w:val="24"/>
          <w:szCs w:val="24"/>
          <w:lang w:eastAsia="pt-BR"/>
          <w14:ligatures w14:val="none"/>
        </w:rPr>
        <w:t xml:space="preserve"> </w:t>
      </w:r>
      <w:r w:rsidRPr="00367042">
        <w:rPr>
          <w:rFonts w:ascii="Arial" w:eastAsia="Times New Roman" w:hAnsi="Arial" w:cs="Arial"/>
          <w:color w:val="000000"/>
          <w:kern w:val="0"/>
          <w:sz w:val="24"/>
          <w:szCs w:val="24"/>
          <w:lang w:eastAsia="pt-BR"/>
          <w14:ligatures w14:val="none"/>
        </w:rPr>
        <w:t>tenham ligação privada e regular de energia elétrica.</w:t>
      </w:r>
    </w:p>
    <w:p w14:paraId="6F6852FC" w14:textId="4209DDCE" w:rsidR="00367042" w:rsidRPr="00367042" w:rsidRDefault="00367042" w:rsidP="00BE2990">
      <w:pPr>
        <w:spacing w:after="0" w:line="276" w:lineRule="auto"/>
        <w:jc w:val="both"/>
        <w:rPr>
          <w:rFonts w:ascii="Arial" w:eastAsia="Times New Roman" w:hAnsi="Arial" w:cs="Arial"/>
          <w:color w:val="000000"/>
          <w:kern w:val="0"/>
          <w:sz w:val="24"/>
          <w:szCs w:val="24"/>
          <w:lang w:eastAsia="pt-BR"/>
          <w14:ligatures w14:val="none"/>
        </w:rPr>
      </w:pPr>
      <w:r w:rsidRPr="00367042">
        <w:rPr>
          <w:rFonts w:ascii="Arial" w:eastAsia="Times New Roman" w:hAnsi="Arial" w:cs="Arial"/>
          <w:b/>
          <w:bCs/>
          <w:color w:val="000000"/>
          <w:kern w:val="0"/>
          <w:sz w:val="24"/>
          <w:szCs w:val="24"/>
          <w:lang w:eastAsia="pt-BR"/>
          <w14:ligatures w14:val="none"/>
        </w:rPr>
        <w:t>Art. 8.</w:t>
      </w:r>
      <w:r w:rsidRPr="00367042">
        <w:rPr>
          <w:rFonts w:ascii="Arial" w:eastAsia="Times New Roman" w:hAnsi="Arial" w:cs="Arial"/>
          <w:color w:val="000000"/>
          <w:kern w:val="0"/>
          <w:sz w:val="24"/>
          <w:szCs w:val="24"/>
          <w:lang w:eastAsia="pt-BR"/>
          <w14:ligatures w14:val="none"/>
        </w:rPr>
        <w:t xml:space="preserve"> A COSIP devida pelos contribuintes cujos imóveis tenham ligação regular e privada de energia elétrica, será lançada mensalmente para pagamento juntamente com a nota fiscal/fatura de energia elétrica, na forma do contrato ou convênio de arrecadação a ser firmado entre o Município e a empresa titular da concessão para distribuição de energia no território do Município.</w:t>
      </w:r>
    </w:p>
    <w:p w14:paraId="1044916D" w14:textId="64EE9566" w:rsidR="00367042" w:rsidRDefault="00367042" w:rsidP="00BE2990">
      <w:pPr>
        <w:spacing w:after="0" w:line="276" w:lineRule="auto"/>
        <w:jc w:val="both"/>
        <w:rPr>
          <w:rFonts w:ascii="Arial" w:eastAsia="Times New Roman" w:hAnsi="Arial" w:cs="Arial"/>
          <w:color w:val="000000"/>
          <w:kern w:val="0"/>
          <w:sz w:val="24"/>
          <w:szCs w:val="24"/>
          <w:lang w:eastAsia="pt-BR"/>
          <w14:ligatures w14:val="none"/>
        </w:rPr>
      </w:pPr>
      <w:r w:rsidRPr="00367042">
        <w:rPr>
          <w:rFonts w:ascii="Arial" w:eastAsia="Times New Roman" w:hAnsi="Arial" w:cs="Arial"/>
          <w:b/>
          <w:bCs/>
          <w:color w:val="000000"/>
          <w:kern w:val="0"/>
          <w:sz w:val="24"/>
          <w:szCs w:val="24"/>
          <w:lang w:eastAsia="pt-BR"/>
          <w14:ligatures w14:val="none"/>
        </w:rPr>
        <w:t>§ Único</w:t>
      </w:r>
      <w:r w:rsidRPr="00367042">
        <w:rPr>
          <w:rFonts w:ascii="Arial" w:eastAsia="Times New Roman" w:hAnsi="Arial" w:cs="Arial"/>
          <w:color w:val="000000"/>
          <w:kern w:val="0"/>
          <w:sz w:val="24"/>
          <w:szCs w:val="24"/>
          <w:lang w:eastAsia="pt-BR"/>
          <w14:ligatures w14:val="none"/>
        </w:rPr>
        <w:t>. O contrato ou convênio a que se refere este artigo deverá prever o repasse mensal do saldo credor da COSIP arrecadada, pela concessionária ao Município, admitida, exclusivamente, a retenção dos montantes necessários ao pagamento da energia elétrica fornecida e outros serviços, referentes à iluminação pública e dos valores fixados para remuneração dos custos de arrecadação.</w:t>
      </w:r>
    </w:p>
    <w:p w14:paraId="7EFCEDE9" w14:textId="77777777" w:rsidR="00BE2990" w:rsidRPr="00367042" w:rsidRDefault="00BE2990" w:rsidP="00BE2990">
      <w:pPr>
        <w:spacing w:after="0" w:line="276" w:lineRule="auto"/>
        <w:jc w:val="both"/>
        <w:rPr>
          <w:rFonts w:ascii="Arial" w:eastAsia="Times New Roman" w:hAnsi="Arial" w:cs="Arial"/>
          <w:color w:val="000000"/>
          <w:kern w:val="0"/>
          <w:sz w:val="24"/>
          <w:szCs w:val="24"/>
          <w:lang w:eastAsia="pt-BR"/>
          <w14:ligatures w14:val="none"/>
        </w:rPr>
      </w:pPr>
    </w:p>
    <w:p w14:paraId="3D3A3F56" w14:textId="77777777" w:rsidR="00BE2990" w:rsidRDefault="00367042" w:rsidP="00BE2990">
      <w:pPr>
        <w:spacing w:after="0" w:line="276" w:lineRule="auto"/>
        <w:jc w:val="center"/>
        <w:rPr>
          <w:rFonts w:ascii="Arial" w:hAnsi="Arial" w:cs="Arial"/>
          <w:b/>
          <w:bCs/>
          <w:color w:val="000000"/>
          <w:sz w:val="24"/>
          <w:szCs w:val="24"/>
        </w:rPr>
      </w:pPr>
      <w:r w:rsidRPr="006B4841">
        <w:rPr>
          <w:rFonts w:ascii="Arial" w:hAnsi="Arial" w:cs="Arial"/>
          <w:b/>
          <w:bCs/>
          <w:color w:val="000000"/>
          <w:sz w:val="24"/>
          <w:szCs w:val="24"/>
        </w:rPr>
        <w:t xml:space="preserve">Seção </w:t>
      </w:r>
      <w:r>
        <w:rPr>
          <w:rFonts w:ascii="Arial" w:hAnsi="Arial" w:cs="Arial"/>
          <w:b/>
          <w:bCs/>
          <w:color w:val="000000"/>
          <w:sz w:val="24"/>
          <w:szCs w:val="24"/>
        </w:rPr>
        <w:t>V</w:t>
      </w:r>
    </w:p>
    <w:p w14:paraId="3D6B6EEF" w14:textId="6EEAB54D" w:rsidR="00367042" w:rsidRDefault="00367042" w:rsidP="00BE2990">
      <w:pPr>
        <w:spacing w:after="0" w:line="276" w:lineRule="auto"/>
        <w:jc w:val="center"/>
        <w:rPr>
          <w:rFonts w:ascii="Arial" w:hAnsi="Arial" w:cs="Arial"/>
          <w:b/>
          <w:bCs/>
          <w:color w:val="000000"/>
          <w:sz w:val="24"/>
          <w:szCs w:val="24"/>
        </w:rPr>
      </w:pPr>
      <w:r>
        <w:rPr>
          <w:rFonts w:ascii="Arial" w:hAnsi="Arial" w:cs="Arial"/>
          <w:b/>
          <w:bCs/>
          <w:color w:val="000000"/>
          <w:sz w:val="24"/>
          <w:szCs w:val="24"/>
        </w:rPr>
        <w:t>Isenções</w:t>
      </w:r>
    </w:p>
    <w:p w14:paraId="5B958581" w14:textId="77777777" w:rsidR="00BE2990" w:rsidRPr="006B4841" w:rsidRDefault="00BE2990" w:rsidP="00BE2990">
      <w:pPr>
        <w:spacing w:after="0" w:line="276" w:lineRule="auto"/>
        <w:jc w:val="center"/>
        <w:rPr>
          <w:rFonts w:ascii="Arial" w:hAnsi="Arial" w:cs="Arial"/>
          <w:b/>
          <w:bCs/>
          <w:color w:val="000000"/>
          <w:sz w:val="24"/>
          <w:szCs w:val="24"/>
        </w:rPr>
      </w:pPr>
    </w:p>
    <w:p w14:paraId="5608DD44" w14:textId="4266C859" w:rsidR="00367042" w:rsidRPr="00367042" w:rsidRDefault="00367042" w:rsidP="00BE2990">
      <w:pPr>
        <w:spacing w:after="0" w:line="276" w:lineRule="auto"/>
        <w:jc w:val="both"/>
        <w:rPr>
          <w:rFonts w:ascii="Arial" w:eastAsia="Times New Roman" w:hAnsi="Arial" w:cs="Arial"/>
          <w:color w:val="000000"/>
          <w:kern w:val="0"/>
          <w:sz w:val="24"/>
          <w:szCs w:val="24"/>
          <w:lang w:eastAsia="pt-BR"/>
          <w14:ligatures w14:val="none"/>
        </w:rPr>
      </w:pPr>
      <w:r w:rsidRPr="00367042">
        <w:rPr>
          <w:rFonts w:ascii="Arial" w:eastAsia="Times New Roman" w:hAnsi="Arial" w:cs="Arial"/>
          <w:b/>
          <w:bCs/>
          <w:color w:val="000000"/>
          <w:kern w:val="0"/>
          <w:sz w:val="24"/>
          <w:szCs w:val="24"/>
          <w:lang w:eastAsia="pt-BR"/>
          <w14:ligatures w14:val="none"/>
        </w:rPr>
        <w:t>Art. 9.</w:t>
      </w:r>
      <w:r w:rsidRPr="00367042">
        <w:rPr>
          <w:rFonts w:ascii="Arial" w:eastAsia="Times New Roman" w:hAnsi="Arial" w:cs="Arial"/>
          <w:color w:val="000000"/>
          <w:kern w:val="0"/>
          <w:sz w:val="24"/>
          <w:szCs w:val="24"/>
          <w:lang w:eastAsia="pt-BR"/>
          <w14:ligatures w14:val="none"/>
        </w:rPr>
        <w:t xml:space="preserve"> Ficam isentos do pagamento da COSIP, os consumidores de energia elétrica da classe residencial com consumo até 100 (cem) kWh no mês.</w:t>
      </w:r>
    </w:p>
    <w:p w14:paraId="2D1D5A4A" w14:textId="16B59D22" w:rsidR="00367042" w:rsidRDefault="00367042" w:rsidP="00BE2990">
      <w:pPr>
        <w:spacing w:after="0" w:line="276" w:lineRule="auto"/>
        <w:jc w:val="both"/>
        <w:rPr>
          <w:rFonts w:ascii="Arial" w:eastAsia="Times New Roman" w:hAnsi="Arial" w:cs="Arial"/>
          <w:color w:val="000000"/>
          <w:kern w:val="0"/>
          <w:sz w:val="24"/>
          <w:szCs w:val="24"/>
          <w:lang w:eastAsia="pt-BR"/>
          <w14:ligatures w14:val="none"/>
        </w:rPr>
      </w:pPr>
      <w:r w:rsidRPr="00367042">
        <w:rPr>
          <w:rFonts w:ascii="Arial" w:eastAsia="Times New Roman" w:hAnsi="Arial" w:cs="Arial"/>
          <w:b/>
          <w:bCs/>
          <w:color w:val="000000"/>
          <w:kern w:val="0"/>
          <w:sz w:val="24"/>
          <w:szCs w:val="24"/>
          <w:lang w:eastAsia="pt-BR"/>
          <w14:ligatures w14:val="none"/>
        </w:rPr>
        <w:t>§ Único</w:t>
      </w:r>
      <w:r w:rsidRPr="00367042">
        <w:rPr>
          <w:rFonts w:ascii="Arial" w:eastAsia="Times New Roman" w:hAnsi="Arial" w:cs="Arial"/>
          <w:color w:val="000000"/>
          <w:kern w:val="0"/>
          <w:sz w:val="24"/>
          <w:szCs w:val="24"/>
          <w:lang w:eastAsia="pt-BR"/>
          <w14:ligatures w14:val="none"/>
        </w:rPr>
        <w:t xml:space="preserve">. Ficam também isentos do pagamento, as Autarquias e Fundações Públicas Municipais e os proprietários, titulares de domínio úteis ou ocupantes </w:t>
      </w:r>
      <w:r w:rsidRPr="00367042">
        <w:rPr>
          <w:rFonts w:ascii="Arial" w:eastAsia="Times New Roman" w:hAnsi="Arial" w:cs="Arial"/>
          <w:color w:val="000000"/>
          <w:kern w:val="0"/>
          <w:sz w:val="24"/>
          <w:szCs w:val="24"/>
          <w:lang w:eastAsia="pt-BR"/>
          <w14:ligatures w14:val="none"/>
        </w:rPr>
        <w:lastRenderedPageBreak/>
        <w:t>de imóveis localizados na área rural, que estejam classificados como rurais pela Concessionária do Serviço Público de Energia Elétrica, bem como, as unidades consumidoras destinadas ao fornecimento de energia elétrica para as fontes de tensão de TVs a cabo, radares, relógios digitais, outdoors, back-lights, iluminação de fachada, captadores de energia e feiras-livres.</w:t>
      </w:r>
    </w:p>
    <w:p w14:paraId="469E6765" w14:textId="77777777" w:rsidR="00BE2990" w:rsidRPr="00367042" w:rsidRDefault="00BE2990" w:rsidP="00BE2990">
      <w:pPr>
        <w:spacing w:after="0" w:line="276" w:lineRule="auto"/>
        <w:jc w:val="both"/>
        <w:rPr>
          <w:rFonts w:ascii="Arial" w:eastAsia="Times New Roman" w:hAnsi="Arial" w:cs="Arial"/>
          <w:color w:val="000000"/>
          <w:kern w:val="0"/>
          <w:sz w:val="24"/>
          <w:szCs w:val="24"/>
          <w:lang w:eastAsia="pt-BR"/>
          <w14:ligatures w14:val="none"/>
        </w:rPr>
      </w:pPr>
    </w:p>
    <w:p w14:paraId="03D887FC" w14:textId="77777777" w:rsidR="00BE2990" w:rsidRDefault="009127FB" w:rsidP="00BE2990">
      <w:pPr>
        <w:spacing w:after="0" w:line="276" w:lineRule="auto"/>
        <w:jc w:val="center"/>
        <w:rPr>
          <w:rFonts w:ascii="Arial" w:hAnsi="Arial" w:cs="Arial"/>
          <w:b/>
          <w:bCs/>
          <w:color w:val="000000"/>
          <w:sz w:val="24"/>
          <w:szCs w:val="24"/>
        </w:rPr>
      </w:pPr>
      <w:r w:rsidRPr="006B4841">
        <w:rPr>
          <w:rFonts w:ascii="Arial" w:hAnsi="Arial" w:cs="Arial"/>
          <w:b/>
          <w:bCs/>
          <w:color w:val="000000"/>
          <w:sz w:val="24"/>
          <w:szCs w:val="24"/>
        </w:rPr>
        <w:t xml:space="preserve">Seção </w:t>
      </w:r>
      <w:r>
        <w:rPr>
          <w:rFonts w:ascii="Arial" w:hAnsi="Arial" w:cs="Arial"/>
          <w:b/>
          <w:bCs/>
          <w:color w:val="000000"/>
          <w:sz w:val="24"/>
          <w:szCs w:val="24"/>
        </w:rPr>
        <w:t>VI</w:t>
      </w:r>
    </w:p>
    <w:p w14:paraId="6D7235D0" w14:textId="585D06BE" w:rsidR="009127FB" w:rsidRDefault="009127FB" w:rsidP="00BE2990">
      <w:pPr>
        <w:spacing w:after="0" w:line="276" w:lineRule="auto"/>
        <w:jc w:val="center"/>
        <w:rPr>
          <w:rFonts w:ascii="Arial" w:hAnsi="Arial" w:cs="Arial"/>
          <w:b/>
          <w:bCs/>
          <w:color w:val="000000"/>
          <w:sz w:val="24"/>
          <w:szCs w:val="24"/>
        </w:rPr>
      </w:pPr>
      <w:r w:rsidRPr="009127FB">
        <w:rPr>
          <w:rFonts w:ascii="Arial" w:hAnsi="Arial" w:cs="Arial"/>
          <w:b/>
          <w:bCs/>
          <w:color w:val="000000"/>
          <w:sz w:val="24"/>
          <w:szCs w:val="24"/>
        </w:rPr>
        <w:t>Disposições Gerais</w:t>
      </w:r>
    </w:p>
    <w:p w14:paraId="13F92F02" w14:textId="77777777" w:rsidR="00BE2990" w:rsidRPr="006B4841" w:rsidRDefault="00BE2990" w:rsidP="00BE2990">
      <w:pPr>
        <w:spacing w:after="0" w:line="276" w:lineRule="auto"/>
        <w:jc w:val="center"/>
        <w:rPr>
          <w:rFonts w:ascii="Arial" w:hAnsi="Arial" w:cs="Arial"/>
          <w:b/>
          <w:bCs/>
          <w:color w:val="000000"/>
          <w:sz w:val="24"/>
          <w:szCs w:val="24"/>
        </w:rPr>
      </w:pPr>
    </w:p>
    <w:p w14:paraId="39E97290" w14:textId="40136979" w:rsidR="006B4841" w:rsidRPr="00367042" w:rsidRDefault="00367042" w:rsidP="00BE2990">
      <w:pPr>
        <w:spacing w:after="0" w:line="276" w:lineRule="auto"/>
        <w:jc w:val="both"/>
        <w:rPr>
          <w:rFonts w:ascii="Arial" w:eastAsia="Times New Roman" w:hAnsi="Arial" w:cs="Arial"/>
          <w:color w:val="000000"/>
          <w:kern w:val="0"/>
          <w:sz w:val="24"/>
          <w:szCs w:val="24"/>
          <w:lang w:eastAsia="pt-BR"/>
          <w14:ligatures w14:val="none"/>
        </w:rPr>
      </w:pPr>
      <w:r w:rsidRPr="009127FB">
        <w:rPr>
          <w:rFonts w:ascii="Arial" w:eastAsia="Times New Roman" w:hAnsi="Arial" w:cs="Arial"/>
          <w:b/>
          <w:bCs/>
          <w:color w:val="000000"/>
          <w:kern w:val="0"/>
          <w:sz w:val="24"/>
          <w:szCs w:val="24"/>
          <w:lang w:eastAsia="pt-BR"/>
          <w14:ligatures w14:val="none"/>
        </w:rPr>
        <w:t xml:space="preserve">Art. </w:t>
      </w:r>
      <w:r w:rsidR="009127FB" w:rsidRPr="009127FB">
        <w:rPr>
          <w:rFonts w:ascii="Arial" w:eastAsia="Times New Roman" w:hAnsi="Arial" w:cs="Arial"/>
          <w:b/>
          <w:bCs/>
          <w:color w:val="000000"/>
          <w:kern w:val="0"/>
          <w:sz w:val="24"/>
          <w:szCs w:val="24"/>
          <w:lang w:eastAsia="pt-BR"/>
          <w14:ligatures w14:val="none"/>
        </w:rPr>
        <w:t>10</w:t>
      </w:r>
      <w:r w:rsidRPr="009127FB">
        <w:rPr>
          <w:rFonts w:ascii="Arial" w:eastAsia="Times New Roman" w:hAnsi="Arial" w:cs="Arial"/>
          <w:b/>
          <w:bCs/>
          <w:color w:val="000000"/>
          <w:kern w:val="0"/>
          <w:sz w:val="24"/>
          <w:szCs w:val="24"/>
          <w:lang w:eastAsia="pt-BR"/>
          <w14:ligatures w14:val="none"/>
        </w:rPr>
        <w:t>.</w:t>
      </w:r>
      <w:r w:rsidRPr="00367042">
        <w:rPr>
          <w:rFonts w:ascii="Arial" w:eastAsia="Times New Roman" w:hAnsi="Arial" w:cs="Arial"/>
          <w:color w:val="000000"/>
          <w:kern w:val="0"/>
          <w:sz w:val="24"/>
          <w:szCs w:val="24"/>
          <w:lang w:eastAsia="pt-BR"/>
          <w14:ligatures w14:val="none"/>
        </w:rPr>
        <w:t xml:space="preserve"> </w:t>
      </w:r>
      <w:r w:rsidR="00D03D5D">
        <w:rPr>
          <w:rFonts w:ascii="Arial" w:eastAsia="Times New Roman" w:hAnsi="Arial" w:cs="Arial"/>
          <w:color w:val="000000"/>
          <w:kern w:val="0"/>
          <w:sz w:val="24"/>
          <w:szCs w:val="24"/>
          <w:lang w:eastAsia="pt-BR"/>
          <w14:ligatures w14:val="none"/>
        </w:rPr>
        <w:t>Será</w:t>
      </w:r>
      <w:r w:rsidRPr="00367042">
        <w:rPr>
          <w:rFonts w:ascii="Arial" w:eastAsia="Times New Roman" w:hAnsi="Arial" w:cs="Arial"/>
          <w:color w:val="000000"/>
          <w:kern w:val="0"/>
          <w:sz w:val="24"/>
          <w:szCs w:val="24"/>
          <w:lang w:eastAsia="pt-BR"/>
          <w14:ligatures w14:val="none"/>
        </w:rPr>
        <w:t xml:space="preserve"> administrado pela Secretaria </w:t>
      </w:r>
      <w:r w:rsidR="00D03D5D">
        <w:rPr>
          <w:rFonts w:ascii="Arial" w:eastAsia="Times New Roman" w:hAnsi="Arial" w:cs="Arial"/>
          <w:color w:val="000000"/>
          <w:kern w:val="0"/>
          <w:sz w:val="24"/>
          <w:szCs w:val="24"/>
          <w:lang w:eastAsia="pt-BR"/>
          <w14:ligatures w14:val="none"/>
        </w:rPr>
        <w:t>de Saneamento Básico, Energias Renováveis e Iluminação Pública</w:t>
      </w:r>
      <w:r w:rsidRPr="00367042">
        <w:rPr>
          <w:rFonts w:ascii="Arial" w:eastAsia="Times New Roman" w:hAnsi="Arial" w:cs="Arial"/>
          <w:color w:val="000000"/>
          <w:kern w:val="0"/>
          <w:sz w:val="24"/>
          <w:szCs w:val="24"/>
          <w:lang w:eastAsia="pt-BR"/>
          <w14:ligatures w14:val="none"/>
        </w:rPr>
        <w:t>, todos os recursos arrecadados com a COSIP e que deverá custear os serviços de iluminação pública previstos nesta Lei.</w:t>
      </w:r>
    </w:p>
    <w:p w14:paraId="4155A4A6" w14:textId="55F0070A" w:rsidR="00155D23" w:rsidRPr="00BE2990" w:rsidRDefault="009127FB" w:rsidP="00BE2990">
      <w:pPr>
        <w:spacing w:after="0" w:line="276" w:lineRule="auto"/>
        <w:jc w:val="both"/>
        <w:rPr>
          <w:rFonts w:ascii="Arial" w:eastAsia="Times New Roman" w:hAnsi="Arial" w:cs="Arial"/>
          <w:color w:val="000000" w:themeColor="text1"/>
          <w:kern w:val="0"/>
          <w:sz w:val="24"/>
          <w:szCs w:val="24"/>
          <w:lang w:eastAsia="pt-BR"/>
          <w14:ligatures w14:val="none"/>
        </w:rPr>
      </w:pPr>
      <w:r w:rsidRPr="003C3996">
        <w:rPr>
          <w:rFonts w:ascii="Arial" w:eastAsia="Times New Roman" w:hAnsi="Arial" w:cs="Arial"/>
          <w:b/>
          <w:bCs/>
          <w:color w:val="000000"/>
          <w:kern w:val="0"/>
          <w:sz w:val="24"/>
          <w:szCs w:val="24"/>
          <w:lang w:eastAsia="pt-BR"/>
          <w14:ligatures w14:val="none"/>
        </w:rPr>
        <w:t xml:space="preserve">Art. </w:t>
      </w:r>
      <w:r>
        <w:rPr>
          <w:rFonts w:ascii="Arial" w:eastAsia="Times New Roman" w:hAnsi="Arial" w:cs="Arial"/>
          <w:b/>
          <w:bCs/>
          <w:color w:val="000000"/>
          <w:kern w:val="0"/>
          <w:sz w:val="24"/>
          <w:szCs w:val="24"/>
          <w:lang w:eastAsia="pt-BR"/>
          <w14:ligatures w14:val="none"/>
        </w:rPr>
        <w:t>11.</w:t>
      </w:r>
      <w:r w:rsidRPr="00155D23">
        <w:rPr>
          <w:rFonts w:ascii="Arial" w:eastAsia="Times New Roman" w:hAnsi="Arial" w:cs="Arial"/>
          <w:color w:val="000000"/>
          <w:kern w:val="0"/>
          <w:sz w:val="24"/>
          <w:szCs w:val="24"/>
          <w:lang w:eastAsia="pt-BR"/>
          <w14:ligatures w14:val="none"/>
        </w:rPr>
        <w:t xml:space="preserve"> </w:t>
      </w:r>
      <w:r w:rsidR="00155D23" w:rsidRPr="00BE2990">
        <w:rPr>
          <w:rFonts w:ascii="Arial" w:eastAsia="Times New Roman" w:hAnsi="Arial" w:cs="Arial"/>
          <w:color w:val="000000" w:themeColor="text1"/>
          <w:kern w:val="0"/>
          <w:sz w:val="24"/>
          <w:szCs w:val="24"/>
          <w:lang w:eastAsia="pt-BR"/>
          <w14:ligatures w14:val="none"/>
        </w:rPr>
        <w:t>Essa lei revoga o CAPÍTULO 2 e todos os seus artigos (art. 196, art. 197, art.198, art.199, art. 200, art. 201, art. 202, art. 203 e art. 204) da LEI COMPLEMENTAR Nº 043, DE 18 DE DEZEMBRO DE 2013</w:t>
      </w:r>
      <w:r w:rsidR="00BE2990" w:rsidRPr="00BE2990">
        <w:rPr>
          <w:rFonts w:ascii="Arial" w:eastAsia="Times New Roman" w:hAnsi="Arial" w:cs="Arial"/>
          <w:color w:val="000000" w:themeColor="text1"/>
          <w:kern w:val="0"/>
          <w:sz w:val="24"/>
          <w:szCs w:val="24"/>
          <w:lang w:eastAsia="pt-BR"/>
          <w14:ligatures w14:val="none"/>
        </w:rPr>
        <w:t>.</w:t>
      </w:r>
    </w:p>
    <w:p w14:paraId="4FDA4880" w14:textId="178EA22B" w:rsidR="009127FB" w:rsidRDefault="00155D23" w:rsidP="00BE2990">
      <w:pPr>
        <w:spacing w:after="0" w:line="276" w:lineRule="auto"/>
        <w:rPr>
          <w:rFonts w:ascii="Arial" w:eastAsia="Times New Roman" w:hAnsi="Arial" w:cs="Arial"/>
          <w:color w:val="000000"/>
          <w:kern w:val="0"/>
          <w:sz w:val="24"/>
          <w:szCs w:val="24"/>
          <w:lang w:eastAsia="pt-BR"/>
          <w14:ligatures w14:val="none"/>
        </w:rPr>
      </w:pPr>
      <w:r w:rsidRPr="003C3996">
        <w:rPr>
          <w:rFonts w:ascii="Arial" w:eastAsia="Times New Roman" w:hAnsi="Arial" w:cs="Arial"/>
          <w:b/>
          <w:bCs/>
          <w:color w:val="000000"/>
          <w:kern w:val="0"/>
          <w:sz w:val="24"/>
          <w:szCs w:val="24"/>
          <w:lang w:eastAsia="pt-BR"/>
          <w14:ligatures w14:val="none"/>
        </w:rPr>
        <w:t xml:space="preserve">Art. </w:t>
      </w:r>
      <w:r>
        <w:rPr>
          <w:rFonts w:ascii="Arial" w:eastAsia="Times New Roman" w:hAnsi="Arial" w:cs="Arial"/>
          <w:b/>
          <w:bCs/>
          <w:color w:val="000000"/>
          <w:kern w:val="0"/>
          <w:sz w:val="24"/>
          <w:szCs w:val="24"/>
          <w:lang w:eastAsia="pt-BR"/>
          <w14:ligatures w14:val="none"/>
        </w:rPr>
        <w:t xml:space="preserve">12. </w:t>
      </w:r>
      <w:r w:rsidR="009127FB">
        <w:rPr>
          <w:rFonts w:ascii="Arial" w:eastAsia="Times New Roman" w:hAnsi="Arial" w:cs="Arial"/>
          <w:color w:val="000000"/>
          <w:kern w:val="0"/>
          <w:sz w:val="24"/>
          <w:szCs w:val="24"/>
          <w:lang w:eastAsia="pt-BR"/>
          <w14:ligatures w14:val="none"/>
        </w:rPr>
        <w:t xml:space="preserve">Essa Lei entra em vigor </w:t>
      </w:r>
      <w:r w:rsidR="00BE2990">
        <w:rPr>
          <w:rFonts w:ascii="Arial" w:eastAsia="Times New Roman" w:hAnsi="Arial" w:cs="Arial"/>
          <w:color w:val="000000"/>
          <w:kern w:val="0"/>
          <w:sz w:val="24"/>
          <w:szCs w:val="24"/>
          <w:lang w:eastAsia="pt-BR"/>
          <w14:ligatures w14:val="none"/>
        </w:rPr>
        <w:t>a partir de 01 de janeiro de 2025</w:t>
      </w:r>
      <w:r w:rsidR="009127FB">
        <w:rPr>
          <w:rFonts w:ascii="Arial" w:eastAsia="Times New Roman" w:hAnsi="Arial" w:cs="Arial"/>
          <w:color w:val="000000"/>
          <w:kern w:val="0"/>
          <w:sz w:val="24"/>
          <w:szCs w:val="24"/>
          <w:lang w:eastAsia="pt-BR"/>
          <w14:ligatures w14:val="none"/>
        </w:rPr>
        <w:t>.</w:t>
      </w:r>
    </w:p>
    <w:p w14:paraId="17BE5A2E" w14:textId="77777777" w:rsidR="00BE2990" w:rsidRDefault="00BE2990" w:rsidP="00BE2990">
      <w:pPr>
        <w:spacing w:after="0" w:line="276" w:lineRule="auto"/>
        <w:rPr>
          <w:rFonts w:ascii="Arial" w:eastAsia="Times New Roman" w:hAnsi="Arial" w:cs="Arial"/>
          <w:color w:val="000000"/>
          <w:kern w:val="0"/>
          <w:sz w:val="24"/>
          <w:szCs w:val="24"/>
          <w:lang w:eastAsia="pt-BR"/>
          <w14:ligatures w14:val="none"/>
        </w:rPr>
      </w:pPr>
    </w:p>
    <w:p w14:paraId="302F7C81" w14:textId="77777777" w:rsidR="00BE2990" w:rsidRDefault="00BE2990" w:rsidP="00BE2990">
      <w:pPr>
        <w:spacing w:after="0" w:line="276" w:lineRule="auto"/>
        <w:rPr>
          <w:rFonts w:ascii="Arial" w:eastAsia="Times New Roman" w:hAnsi="Arial" w:cs="Arial"/>
          <w:color w:val="000000"/>
          <w:kern w:val="0"/>
          <w:sz w:val="24"/>
          <w:szCs w:val="24"/>
          <w:lang w:eastAsia="pt-BR"/>
          <w14:ligatures w14:val="none"/>
        </w:rPr>
      </w:pPr>
    </w:p>
    <w:p w14:paraId="203C8E35" w14:textId="77777777" w:rsidR="00BE2990" w:rsidRDefault="00BE2990" w:rsidP="00BE2990">
      <w:pPr>
        <w:spacing w:after="0" w:line="276" w:lineRule="auto"/>
        <w:rPr>
          <w:rFonts w:ascii="Arial" w:eastAsia="Times New Roman" w:hAnsi="Arial" w:cs="Arial"/>
          <w:color w:val="000000"/>
          <w:kern w:val="0"/>
          <w:sz w:val="24"/>
          <w:szCs w:val="24"/>
          <w:lang w:eastAsia="pt-BR"/>
          <w14:ligatures w14:val="none"/>
        </w:rPr>
      </w:pPr>
    </w:p>
    <w:p w14:paraId="7D07F410" w14:textId="77777777" w:rsidR="00BE2990" w:rsidRDefault="00BE2990" w:rsidP="00BE2990">
      <w:pPr>
        <w:spacing w:after="0" w:line="276" w:lineRule="auto"/>
        <w:rPr>
          <w:rFonts w:ascii="Arial" w:eastAsia="Times New Roman" w:hAnsi="Arial" w:cs="Arial"/>
          <w:color w:val="000000"/>
          <w:kern w:val="0"/>
          <w:sz w:val="24"/>
          <w:szCs w:val="24"/>
          <w:lang w:eastAsia="pt-BR"/>
          <w14:ligatures w14:val="none"/>
        </w:rPr>
      </w:pPr>
    </w:p>
    <w:p w14:paraId="4C632D46" w14:textId="77777777" w:rsidR="00BE2990" w:rsidRDefault="00BE2990" w:rsidP="00BE2990">
      <w:pPr>
        <w:spacing w:after="0" w:line="276" w:lineRule="auto"/>
        <w:rPr>
          <w:rFonts w:ascii="Arial" w:eastAsia="Times New Roman" w:hAnsi="Arial" w:cs="Arial"/>
          <w:color w:val="000000"/>
          <w:kern w:val="0"/>
          <w:sz w:val="24"/>
          <w:szCs w:val="24"/>
          <w:lang w:eastAsia="pt-BR"/>
          <w14:ligatures w14:val="none"/>
        </w:rPr>
      </w:pPr>
    </w:p>
    <w:p w14:paraId="219141EF" w14:textId="3B0C3F66" w:rsidR="009127FB" w:rsidRDefault="009127FB" w:rsidP="00BE2990">
      <w:pPr>
        <w:spacing w:after="0" w:line="276" w:lineRule="auto"/>
        <w:jc w:val="right"/>
        <w:rPr>
          <w:rFonts w:ascii="Arial" w:eastAsia="Times New Roman" w:hAnsi="Arial" w:cs="Arial"/>
          <w:color w:val="000000"/>
          <w:kern w:val="0"/>
          <w:sz w:val="24"/>
          <w:szCs w:val="24"/>
          <w:lang w:eastAsia="pt-BR"/>
          <w14:ligatures w14:val="none"/>
        </w:rPr>
      </w:pPr>
      <w:r>
        <w:rPr>
          <w:rFonts w:ascii="Arial" w:eastAsia="Times New Roman" w:hAnsi="Arial" w:cs="Arial"/>
          <w:color w:val="000000"/>
          <w:kern w:val="0"/>
          <w:sz w:val="24"/>
          <w:szCs w:val="24"/>
          <w:lang w:eastAsia="pt-BR"/>
          <w14:ligatures w14:val="none"/>
        </w:rPr>
        <w:t xml:space="preserve">Entre Rios do Oeste, Estado do Paraná, em </w:t>
      </w:r>
      <w:r w:rsidR="00BE2990">
        <w:rPr>
          <w:rFonts w:ascii="Arial" w:eastAsia="Times New Roman" w:hAnsi="Arial" w:cs="Arial"/>
          <w:color w:val="000000"/>
          <w:kern w:val="0"/>
          <w:sz w:val="24"/>
          <w:szCs w:val="24"/>
          <w:lang w:eastAsia="pt-BR"/>
          <w14:ligatures w14:val="none"/>
        </w:rPr>
        <w:t>20</w:t>
      </w:r>
      <w:r w:rsidRPr="003657F2">
        <w:rPr>
          <w:rFonts w:ascii="Arial" w:eastAsia="Times New Roman" w:hAnsi="Arial" w:cs="Arial"/>
          <w:color w:val="000000"/>
          <w:kern w:val="0"/>
          <w:sz w:val="24"/>
          <w:szCs w:val="24"/>
          <w:lang w:eastAsia="pt-BR"/>
          <w14:ligatures w14:val="none"/>
        </w:rPr>
        <w:t xml:space="preserve"> de </w:t>
      </w:r>
      <w:r w:rsidR="00D03D5D">
        <w:rPr>
          <w:rFonts w:ascii="Arial" w:eastAsia="Times New Roman" w:hAnsi="Arial" w:cs="Arial"/>
          <w:color w:val="000000"/>
          <w:kern w:val="0"/>
          <w:sz w:val="24"/>
          <w:szCs w:val="24"/>
          <w:lang w:eastAsia="pt-BR"/>
          <w14:ligatures w14:val="none"/>
        </w:rPr>
        <w:t>maio</w:t>
      </w:r>
      <w:r w:rsidRPr="003657F2">
        <w:rPr>
          <w:rFonts w:ascii="Arial" w:eastAsia="Times New Roman" w:hAnsi="Arial" w:cs="Arial"/>
          <w:color w:val="000000"/>
          <w:kern w:val="0"/>
          <w:sz w:val="24"/>
          <w:szCs w:val="24"/>
          <w:lang w:eastAsia="pt-BR"/>
          <w14:ligatures w14:val="none"/>
        </w:rPr>
        <w:t xml:space="preserve"> de 2024</w:t>
      </w:r>
      <w:r>
        <w:rPr>
          <w:rFonts w:ascii="Arial" w:eastAsia="Times New Roman" w:hAnsi="Arial" w:cs="Arial"/>
          <w:color w:val="000000"/>
          <w:kern w:val="0"/>
          <w:sz w:val="24"/>
          <w:szCs w:val="24"/>
          <w:lang w:eastAsia="pt-BR"/>
          <w14:ligatures w14:val="none"/>
        </w:rPr>
        <w:t>.</w:t>
      </w:r>
    </w:p>
    <w:p w14:paraId="40515DEB" w14:textId="77777777" w:rsidR="00155D23" w:rsidRDefault="00155D23" w:rsidP="00BE2990">
      <w:pPr>
        <w:spacing w:after="0" w:line="240" w:lineRule="auto"/>
        <w:rPr>
          <w:rFonts w:ascii="Arial" w:eastAsia="Times New Roman" w:hAnsi="Arial" w:cs="Arial"/>
          <w:color w:val="000000"/>
          <w:kern w:val="0"/>
          <w:sz w:val="24"/>
          <w:szCs w:val="24"/>
          <w:lang w:eastAsia="pt-BR"/>
          <w14:ligatures w14:val="none"/>
        </w:rPr>
      </w:pPr>
    </w:p>
    <w:p w14:paraId="1411CA7B" w14:textId="77777777" w:rsidR="00155D23" w:rsidRDefault="00155D23" w:rsidP="00BE2990">
      <w:pPr>
        <w:spacing w:after="0" w:line="240" w:lineRule="auto"/>
        <w:rPr>
          <w:rFonts w:ascii="Arial" w:eastAsia="Times New Roman" w:hAnsi="Arial" w:cs="Arial"/>
          <w:color w:val="000000"/>
          <w:kern w:val="0"/>
          <w:sz w:val="24"/>
          <w:szCs w:val="24"/>
          <w:lang w:eastAsia="pt-BR"/>
          <w14:ligatures w14:val="none"/>
        </w:rPr>
      </w:pPr>
    </w:p>
    <w:p w14:paraId="488E7415" w14:textId="77777777" w:rsidR="004B4145" w:rsidRDefault="004B4145" w:rsidP="00BE2990">
      <w:pPr>
        <w:spacing w:after="0" w:line="240" w:lineRule="auto"/>
        <w:rPr>
          <w:rFonts w:ascii="Arial" w:eastAsia="Times New Roman" w:hAnsi="Arial" w:cs="Arial"/>
          <w:color w:val="000000"/>
          <w:kern w:val="0"/>
          <w:sz w:val="24"/>
          <w:szCs w:val="24"/>
          <w:lang w:eastAsia="pt-BR"/>
          <w14:ligatures w14:val="none"/>
        </w:rPr>
      </w:pPr>
    </w:p>
    <w:p w14:paraId="7E4B6F83" w14:textId="77777777" w:rsidR="004B4145" w:rsidRDefault="004B4145" w:rsidP="00BE2990">
      <w:pPr>
        <w:spacing w:after="0" w:line="240" w:lineRule="auto"/>
        <w:rPr>
          <w:rFonts w:ascii="Arial" w:eastAsia="Times New Roman" w:hAnsi="Arial" w:cs="Arial"/>
          <w:color w:val="000000"/>
          <w:kern w:val="0"/>
          <w:sz w:val="24"/>
          <w:szCs w:val="24"/>
          <w:lang w:eastAsia="pt-BR"/>
          <w14:ligatures w14:val="none"/>
        </w:rPr>
      </w:pPr>
    </w:p>
    <w:p w14:paraId="7B046B73" w14:textId="77777777" w:rsidR="004B4145" w:rsidRDefault="004B4145" w:rsidP="00BE2990">
      <w:pPr>
        <w:spacing w:after="0" w:line="240" w:lineRule="auto"/>
        <w:rPr>
          <w:rFonts w:ascii="Arial" w:eastAsia="Times New Roman" w:hAnsi="Arial" w:cs="Arial"/>
          <w:color w:val="000000"/>
          <w:kern w:val="0"/>
          <w:sz w:val="24"/>
          <w:szCs w:val="24"/>
          <w:lang w:eastAsia="pt-BR"/>
          <w14:ligatures w14:val="none"/>
        </w:rPr>
      </w:pPr>
    </w:p>
    <w:p w14:paraId="204D022C" w14:textId="77777777" w:rsidR="004B4145" w:rsidRDefault="004B4145" w:rsidP="00BE2990">
      <w:pPr>
        <w:spacing w:after="0" w:line="240" w:lineRule="auto"/>
        <w:rPr>
          <w:rFonts w:ascii="Arial" w:eastAsia="Times New Roman" w:hAnsi="Arial" w:cs="Arial"/>
          <w:color w:val="000000"/>
          <w:kern w:val="0"/>
          <w:sz w:val="24"/>
          <w:szCs w:val="24"/>
          <w:lang w:eastAsia="pt-BR"/>
          <w14:ligatures w14:val="none"/>
        </w:rPr>
      </w:pPr>
    </w:p>
    <w:p w14:paraId="050ABC55" w14:textId="77777777" w:rsidR="004B4145" w:rsidRDefault="004B4145" w:rsidP="00BE2990">
      <w:pPr>
        <w:spacing w:after="0" w:line="240" w:lineRule="auto"/>
        <w:rPr>
          <w:rFonts w:ascii="Arial" w:eastAsia="Times New Roman" w:hAnsi="Arial" w:cs="Arial"/>
          <w:color w:val="000000"/>
          <w:kern w:val="0"/>
          <w:sz w:val="24"/>
          <w:szCs w:val="24"/>
          <w:lang w:eastAsia="pt-BR"/>
          <w14:ligatures w14:val="none"/>
        </w:rPr>
      </w:pPr>
    </w:p>
    <w:p w14:paraId="2EAA6904" w14:textId="744AE60B" w:rsidR="00BE2990" w:rsidRDefault="00BE2990">
      <w:pPr>
        <w:rPr>
          <w:rFonts w:ascii="Arial" w:eastAsia="Times New Roman" w:hAnsi="Arial" w:cs="Arial"/>
          <w:color w:val="000000"/>
          <w:kern w:val="0"/>
          <w:sz w:val="24"/>
          <w:szCs w:val="24"/>
          <w:lang w:eastAsia="pt-BR"/>
          <w14:ligatures w14:val="none"/>
        </w:rPr>
      </w:pPr>
      <w:r>
        <w:rPr>
          <w:rFonts w:ascii="Arial" w:eastAsia="Times New Roman" w:hAnsi="Arial" w:cs="Arial"/>
          <w:color w:val="000000"/>
          <w:kern w:val="0"/>
          <w:sz w:val="24"/>
          <w:szCs w:val="24"/>
          <w:lang w:eastAsia="pt-BR"/>
          <w14:ligatures w14:val="none"/>
        </w:rPr>
        <w:br w:type="page"/>
      </w:r>
    </w:p>
    <w:p w14:paraId="36A39AD6" w14:textId="240FCB88" w:rsidR="00155D23" w:rsidRPr="00155D23" w:rsidRDefault="00155D23" w:rsidP="00155D23">
      <w:pPr>
        <w:spacing w:beforeLines="200" w:before="480" w:afterLines="200" w:after="480" w:line="240" w:lineRule="auto"/>
        <w:jc w:val="center"/>
        <w:rPr>
          <w:rFonts w:ascii="Arial" w:eastAsia="Times New Roman" w:hAnsi="Arial" w:cs="Arial"/>
          <w:b/>
          <w:bCs/>
          <w:color w:val="000000"/>
          <w:kern w:val="0"/>
          <w:sz w:val="24"/>
          <w:szCs w:val="24"/>
          <w:lang w:eastAsia="pt-BR"/>
          <w14:ligatures w14:val="none"/>
        </w:rPr>
      </w:pPr>
      <w:r w:rsidRPr="00155D23">
        <w:rPr>
          <w:rFonts w:ascii="Arial" w:eastAsia="Times New Roman" w:hAnsi="Arial" w:cs="Arial"/>
          <w:b/>
          <w:bCs/>
          <w:color w:val="000000"/>
          <w:kern w:val="0"/>
          <w:sz w:val="24"/>
          <w:szCs w:val="24"/>
          <w:lang w:eastAsia="pt-BR"/>
          <w14:ligatures w14:val="none"/>
        </w:rPr>
        <w:t>ANEXO I</w:t>
      </w:r>
    </w:p>
    <w:p w14:paraId="2683D235" w14:textId="77777777" w:rsidR="00155D23" w:rsidRDefault="00155D23" w:rsidP="00BE2990">
      <w:pPr>
        <w:spacing w:after="0" w:line="240" w:lineRule="auto"/>
        <w:rPr>
          <w:rFonts w:ascii="Arial" w:eastAsia="Times New Roman" w:hAnsi="Arial" w:cs="Arial"/>
          <w:color w:val="000000"/>
          <w:kern w:val="0"/>
          <w:sz w:val="24"/>
          <w:szCs w:val="24"/>
          <w:lang w:eastAsia="pt-BR"/>
          <w14:ligatures w14:val="none"/>
        </w:rPr>
      </w:pPr>
    </w:p>
    <w:p w14:paraId="70B0421A" w14:textId="77777777" w:rsidR="00155D23" w:rsidRDefault="00155D23" w:rsidP="00155D23">
      <w:pPr>
        <w:spacing w:afterLines="50" w:after="120" w:line="240" w:lineRule="auto"/>
        <w:jc w:val="center"/>
        <w:rPr>
          <w:rFonts w:ascii="Arial" w:eastAsia="Times New Roman" w:hAnsi="Arial" w:cs="Arial"/>
          <w:b/>
          <w:bCs/>
          <w:i/>
          <w:iCs/>
          <w:color w:val="000000"/>
          <w:kern w:val="0"/>
          <w:sz w:val="24"/>
          <w:szCs w:val="24"/>
          <w:lang w:eastAsia="pt-BR"/>
          <w14:ligatures w14:val="none"/>
        </w:rPr>
      </w:pPr>
      <w:r w:rsidRPr="003657F2">
        <w:rPr>
          <w:rFonts w:ascii="Arial" w:eastAsia="Times New Roman" w:hAnsi="Arial" w:cs="Arial"/>
          <w:b/>
          <w:bCs/>
          <w:i/>
          <w:iCs/>
          <w:color w:val="000000"/>
          <w:kern w:val="0"/>
          <w:sz w:val="24"/>
          <w:szCs w:val="24"/>
          <w:lang w:eastAsia="pt-BR"/>
          <w14:ligatures w14:val="none"/>
        </w:rPr>
        <w:t>TABELA I</w:t>
      </w:r>
      <w:r>
        <w:rPr>
          <w:rFonts w:ascii="Arial" w:eastAsia="Times New Roman" w:hAnsi="Arial" w:cs="Arial"/>
          <w:b/>
          <w:bCs/>
          <w:i/>
          <w:iCs/>
          <w:color w:val="000000"/>
          <w:kern w:val="0"/>
          <w:sz w:val="24"/>
          <w:szCs w:val="24"/>
          <w:lang w:eastAsia="pt-BR"/>
          <w14:ligatures w14:val="none"/>
        </w:rPr>
        <w:t xml:space="preserve"> - </w:t>
      </w:r>
      <w:r w:rsidRPr="003657F2">
        <w:rPr>
          <w:rFonts w:ascii="Arial" w:eastAsia="Times New Roman" w:hAnsi="Arial" w:cs="Arial"/>
          <w:b/>
          <w:bCs/>
          <w:i/>
          <w:iCs/>
          <w:color w:val="000000"/>
          <w:kern w:val="0"/>
          <w:sz w:val="24"/>
          <w:szCs w:val="24"/>
          <w:lang w:eastAsia="pt-BR"/>
          <w14:ligatures w14:val="none"/>
        </w:rPr>
        <w:t>CONTRIBUIÇÃO PARA O CUSTEIO DOS SERVIÇOS DE ILUMINAÇÃO</w:t>
      </w:r>
      <w:r>
        <w:rPr>
          <w:rFonts w:ascii="Arial" w:eastAsia="Times New Roman" w:hAnsi="Arial" w:cs="Arial"/>
          <w:b/>
          <w:bCs/>
          <w:i/>
          <w:iCs/>
          <w:color w:val="000000"/>
          <w:kern w:val="0"/>
          <w:sz w:val="24"/>
          <w:szCs w:val="24"/>
          <w:lang w:eastAsia="pt-BR"/>
          <w14:ligatures w14:val="none"/>
        </w:rPr>
        <w:t xml:space="preserve"> </w:t>
      </w:r>
      <w:r w:rsidRPr="003657F2">
        <w:rPr>
          <w:rFonts w:ascii="Arial" w:eastAsia="Times New Roman" w:hAnsi="Arial" w:cs="Arial"/>
          <w:b/>
          <w:bCs/>
          <w:i/>
          <w:iCs/>
          <w:color w:val="000000"/>
          <w:kern w:val="0"/>
          <w:sz w:val="24"/>
          <w:szCs w:val="24"/>
          <w:lang w:eastAsia="pt-BR"/>
          <w14:ligatures w14:val="none"/>
        </w:rPr>
        <w:t>PÚBLICA</w:t>
      </w:r>
      <w:r>
        <w:rPr>
          <w:rFonts w:ascii="Arial" w:eastAsia="Times New Roman" w:hAnsi="Arial" w:cs="Arial"/>
          <w:b/>
          <w:bCs/>
          <w:i/>
          <w:iCs/>
          <w:color w:val="000000"/>
          <w:kern w:val="0"/>
          <w:sz w:val="24"/>
          <w:szCs w:val="24"/>
          <w:lang w:eastAsia="pt-BR"/>
          <w14:ligatures w14:val="none"/>
        </w:rPr>
        <w:t xml:space="preserve"> (</w:t>
      </w:r>
      <w:r w:rsidRPr="003657F2">
        <w:rPr>
          <w:rFonts w:ascii="Arial" w:eastAsia="Times New Roman" w:hAnsi="Arial" w:cs="Arial"/>
          <w:b/>
          <w:bCs/>
          <w:i/>
          <w:iCs/>
          <w:color w:val="000000"/>
          <w:kern w:val="0"/>
          <w:sz w:val="24"/>
          <w:szCs w:val="24"/>
          <w:lang w:eastAsia="pt-BR"/>
          <w14:ligatures w14:val="none"/>
        </w:rPr>
        <w:t>COSI</w:t>
      </w:r>
      <w:r>
        <w:rPr>
          <w:rFonts w:ascii="Arial" w:eastAsia="Times New Roman" w:hAnsi="Arial" w:cs="Arial"/>
          <w:b/>
          <w:bCs/>
          <w:i/>
          <w:iCs/>
          <w:color w:val="000000"/>
          <w:kern w:val="0"/>
          <w:sz w:val="24"/>
          <w:szCs w:val="24"/>
          <w:lang w:eastAsia="pt-BR"/>
          <w14:ligatures w14:val="none"/>
        </w:rPr>
        <w:t>P)</w:t>
      </w:r>
    </w:p>
    <w:p w14:paraId="34E4C6D9" w14:textId="77777777" w:rsidR="00155D23" w:rsidRDefault="00155D23" w:rsidP="00155D23">
      <w:pPr>
        <w:spacing w:afterLines="50" w:after="120" w:line="240" w:lineRule="auto"/>
        <w:jc w:val="center"/>
        <w:rPr>
          <w:rFonts w:ascii="Arial" w:eastAsia="Times New Roman" w:hAnsi="Arial" w:cs="Arial"/>
          <w:b/>
          <w:bCs/>
          <w:i/>
          <w:iCs/>
          <w:color w:val="000000"/>
          <w:kern w:val="0"/>
          <w:sz w:val="24"/>
          <w:szCs w:val="24"/>
          <w:lang w:eastAsia="pt-BR"/>
          <w14:ligatures w14:val="none"/>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1799"/>
        <w:gridCol w:w="1799"/>
        <w:gridCol w:w="1799"/>
      </w:tblGrid>
      <w:tr w:rsidR="00155D23" w:rsidRPr="003657F2" w14:paraId="761867A6" w14:textId="77777777" w:rsidTr="00310280">
        <w:trPr>
          <w:jc w:val="center"/>
        </w:trPr>
        <w:tc>
          <w:tcPr>
            <w:tcW w:w="1798" w:type="dxa"/>
            <w:tcBorders>
              <w:top w:val="single" w:sz="4" w:space="0" w:color="auto"/>
              <w:bottom w:val="single" w:sz="4" w:space="0" w:color="auto"/>
            </w:tcBorders>
            <w:vAlign w:val="center"/>
          </w:tcPr>
          <w:p w14:paraId="47AD3FC9" w14:textId="77777777" w:rsidR="00155D23" w:rsidRPr="003657F2" w:rsidRDefault="00155D23" w:rsidP="00310280">
            <w:pPr>
              <w:spacing w:before="120" w:after="120"/>
              <w:jc w:val="center"/>
              <w:rPr>
                <w:rFonts w:ascii="Arial" w:eastAsia="Times New Roman" w:hAnsi="Arial" w:cs="Arial"/>
                <w:b/>
                <w:bCs/>
                <w:i/>
                <w:iCs/>
                <w:color w:val="000000"/>
                <w:sz w:val="24"/>
                <w:szCs w:val="24"/>
                <w:lang w:eastAsia="pt-BR"/>
                <w14:ligatures w14:val="none"/>
              </w:rPr>
            </w:pPr>
            <w:r w:rsidRPr="003657F2">
              <w:rPr>
                <w:b/>
                <w:bCs/>
                <w:i/>
                <w:iCs/>
              </w:rPr>
              <w:t>Classe</w:t>
            </w:r>
          </w:p>
        </w:tc>
        <w:tc>
          <w:tcPr>
            <w:tcW w:w="1799" w:type="dxa"/>
            <w:tcBorders>
              <w:top w:val="single" w:sz="4" w:space="0" w:color="auto"/>
              <w:bottom w:val="single" w:sz="4" w:space="0" w:color="auto"/>
            </w:tcBorders>
            <w:vAlign w:val="center"/>
          </w:tcPr>
          <w:p w14:paraId="5C74CA66" w14:textId="77777777" w:rsidR="00155D23" w:rsidRPr="003657F2" w:rsidRDefault="00155D23" w:rsidP="00310280">
            <w:pPr>
              <w:spacing w:before="120" w:after="120"/>
              <w:jc w:val="center"/>
              <w:rPr>
                <w:rFonts w:ascii="Arial" w:eastAsia="Times New Roman" w:hAnsi="Arial" w:cs="Arial"/>
                <w:b/>
                <w:bCs/>
                <w:i/>
                <w:iCs/>
                <w:color w:val="000000"/>
                <w:sz w:val="24"/>
                <w:szCs w:val="24"/>
                <w:lang w:eastAsia="pt-BR"/>
                <w14:ligatures w14:val="none"/>
              </w:rPr>
            </w:pPr>
            <w:r w:rsidRPr="003657F2">
              <w:rPr>
                <w:rFonts w:ascii="Calibri" w:hAnsi="Calibri" w:cs="Calibri"/>
                <w:b/>
                <w:bCs/>
                <w:i/>
                <w:iCs/>
                <w:color w:val="000000"/>
              </w:rPr>
              <w:t>Faixa Consumo (kWh)</w:t>
            </w:r>
          </w:p>
        </w:tc>
        <w:tc>
          <w:tcPr>
            <w:tcW w:w="1799" w:type="dxa"/>
            <w:tcBorders>
              <w:top w:val="single" w:sz="4" w:space="0" w:color="auto"/>
              <w:bottom w:val="single" w:sz="4" w:space="0" w:color="auto"/>
            </w:tcBorders>
            <w:vAlign w:val="center"/>
          </w:tcPr>
          <w:p w14:paraId="078596BB" w14:textId="77777777" w:rsidR="00155D23" w:rsidRPr="003657F2" w:rsidRDefault="00155D23" w:rsidP="00310280">
            <w:pPr>
              <w:spacing w:before="120" w:after="120"/>
              <w:jc w:val="center"/>
              <w:rPr>
                <w:rFonts w:ascii="Arial" w:eastAsia="Times New Roman" w:hAnsi="Arial" w:cs="Arial"/>
                <w:b/>
                <w:bCs/>
                <w:i/>
                <w:iCs/>
                <w:color w:val="000000"/>
                <w:sz w:val="24"/>
                <w:szCs w:val="24"/>
                <w:lang w:eastAsia="pt-BR"/>
                <w14:ligatures w14:val="none"/>
              </w:rPr>
            </w:pPr>
            <w:r w:rsidRPr="003657F2">
              <w:rPr>
                <w:rFonts w:ascii="Calibri" w:hAnsi="Calibri" w:cs="Calibri"/>
                <w:b/>
                <w:bCs/>
                <w:i/>
                <w:iCs/>
                <w:color w:val="000000"/>
              </w:rPr>
              <w:t>COSIP</w:t>
            </w:r>
          </w:p>
        </w:tc>
        <w:tc>
          <w:tcPr>
            <w:tcW w:w="1799" w:type="dxa"/>
            <w:tcBorders>
              <w:top w:val="single" w:sz="4" w:space="0" w:color="auto"/>
              <w:bottom w:val="single" w:sz="4" w:space="0" w:color="auto"/>
            </w:tcBorders>
            <w:vAlign w:val="center"/>
          </w:tcPr>
          <w:p w14:paraId="2AF43816" w14:textId="77777777" w:rsidR="00155D23" w:rsidRPr="003657F2" w:rsidRDefault="00155D23" w:rsidP="00310280">
            <w:pPr>
              <w:spacing w:before="120" w:after="120"/>
              <w:jc w:val="center"/>
              <w:rPr>
                <w:rFonts w:ascii="Arial" w:eastAsia="Times New Roman" w:hAnsi="Arial" w:cs="Arial"/>
                <w:b/>
                <w:bCs/>
                <w:i/>
                <w:iCs/>
                <w:color w:val="000000"/>
                <w:sz w:val="24"/>
                <w:szCs w:val="24"/>
                <w:lang w:eastAsia="pt-BR"/>
                <w14:ligatures w14:val="none"/>
              </w:rPr>
            </w:pPr>
            <w:r w:rsidRPr="003657F2">
              <w:rPr>
                <w:rFonts w:ascii="Calibri" w:hAnsi="Calibri" w:cs="Calibri"/>
                <w:b/>
                <w:bCs/>
                <w:i/>
                <w:iCs/>
                <w:color w:val="000000"/>
              </w:rPr>
              <w:t>Teto de Contribuição</w:t>
            </w:r>
          </w:p>
        </w:tc>
      </w:tr>
      <w:tr w:rsidR="00155D23" w:rsidRPr="003657F2" w14:paraId="1A92234C" w14:textId="77777777" w:rsidTr="00310280">
        <w:trPr>
          <w:jc w:val="center"/>
        </w:trPr>
        <w:tc>
          <w:tcPr>
            <w:tcW w:w="1798" w:type="dxa"/>
            <w:tcBorders>
              <w:top w:val="single" w:sz="4" w:space="0" w:color="auto"/>
            </w:tcBorders>
            <w:vAlign w:val="center"/>
          </w:tcPr>
          <w:p w14:paraId="214D4C55" w14:textId="77777777" w:rsidR="00155D23" w:rsidRPr="003657F2" w:rsidRDefault="00155D23" w:rsidP="00310280">
            <w:pPr>
              <w:spacing w:before="120" w:after="120"/>
              <w:jc w:val="center"/>
              <w:rPr>
                <w:rFonts w:ascii="Arial" w:eastAsia="Times New Roman" w:hAnsi="Arial" w:cs="Arial"/>
                <w:i/>
                <w:iCs/>
                <w:color w:val="000000"/>
                <w:sz w:val="24"/>
                <w:szCs w:val="24"/>
                <w:lang w:eastAsia="pt-BR"/>
                <w14:ligatures w14:val="none"/>
              </w:rPr>
            </w:pPr>
            <w:r w:rsidRPr="003657F2">
              <w:rPr>
                <w:i/>
                <w:iCs/>
              </w:rPr>
              <w:t>Rural</w:t>
            </w:r>
          </w:p>
        </w:tc>
        <w:tc>
          <w:tcPr>
            <w:tcW w:w="1799" w:type="dxa"/>
            <w:tcBorders>
              <w:top w:val="single" w:sz="4" w:space="0" w:color="auto"/>
            </w:tcBorders>
            <w:vAlign w:val="center"/>
          </w:tcPr>
          <w:p w14:paraId="2D762AA1" w14:textId="77777777" w:rsidR="00155D23" w:rsidRPr="003657F2" w:rsidRDefault="00155D23" w:rsidP="00310280">
            <w:pPr>
              <w:spacing w:before="120" w:after="120"/>
              <w:jc w:val="center"/>
              <w:rPr>
                <w:rFonts w:ascii="Arial" w:eastAsia="Times New Roman" w:hAnsi="Arial" w:cs="Arial"/>
                <w:i/>
                <w:iCs/>
                <w:color w:val="000000"/>
                <w:sz w:val="24"/>
                <w:szCs w:val="24"/>
                <w:lang w:eastAsia="pt-BR"/>
                <w14:ligatures w14:val="none"/>
              </w:rPr>
            </w:pPr>
            <w:r>
              <w:rPr>
                <w:rFonts w:ascii="Calibri" w:hAnsi="Calibri" w:cs="Calibri"/>
                <w:i/>
                <w:iCs/>
                <w:color w:val="000000"/>
              </w:rPr>
              <w:t>Todas</w:t>
            </w:r>
          </w:p>
        </w:tc>
        <w:tc>
          <w:tcPr>
            <w:tcW w:w="1799" w:type="dxa"/>
            <w:tcBorders>
              <w:top w:val="single" w:sz="4" w:space="0" w:color="auto"/>
            </w:tcBorders>
            <w:vAlign w:val="center"/>
          </w:tcPr>
          <w:p w14:paraId="294E1C7C" w14:textId="77777777" w:rsidR="00155D23" w:rsidRPr="003657F2" w:rsidRDefault="00155D23" w:rsidP="00310280">
            <w:pPr>
              <w:spacing w:before="120" w:after="120"/>
              <w:jc w:val="center"/>
              <w:rPr>
                <w:rFonts w:ascii="Arial" w:eastAsia="Times New Roman" w:hAnsi="Arial" w:cs="Arial"/>
                <w:i/>
                <w:iCs/>
                <w:color w:val="000000"/>
                <w:sz w:val="24"/>
                <w:szCs w:val="24"/>
                <w:lang w:eastAsia="pt-BR"/>
                <w14:ligatures w14:val="none"/>
              </w:rPr>
            </w:pPr>
            <w:r w:rsidRPr="003657F2">
              <w:rPr>
                <w:rFonts w:ascii="Calibri" w:hAnsi="Calibri" w:cs="Calibri"/>
                <w:i/>
                <w:iCs/>
                <w:color w:val="000000"/>
              </w:rPr>
              <w:t>ISENTO</w:t>
            </w:r>
          </w:p>
        </w:tc>
        <w:tc>
          <w:tcPr>
            <w:tcW w:w="1799" w:type="dxa"/>
            <w:tcBorders>
              <w:top w:val="single" w:sz="4" w:space="0" w:color="auto"/>
            </w:tcBorders>
            <w:vAlign w:val="center"/>
          </w:tcPr>
          <w:p w14:paraId="34A78B27" w14:textId="77777777" w:rsidR="00155D23" w:rsidRPr="003657F2" w:rsidRDefault="00155D23" w:rsidP="00310280">
            <w:pPr>
              <w:spacing w:before="120" w:after="120"/>
              <w:jc w:val="center"/>
              <w:rPr>
                <w:rFonts w:ascii="Arial" w:eastAsia="Times New Roman" w:hAnsi="Arial" w:cs="Arial"/>
                <w:i/>
                <w:iCs/>
                <w:color w:val="000000"/>
                <w:sz w:val="24"/>
                <w:szCs w:val="24"/>
                <w:lang w:eastAsia="pt-BR"/>
                <w14:ligatures w14:val="none"/>
              </w:rPr>
            </w:pPr>
            <w:r w:rsidRPr="003657F2">
              <w:rPr>
                <w:rFonts w:ascii="Calibri" w:hAnsi="Calibri" w:cs="Calibri"/>
                <w:i/>
                <w:iCs/>
                <w:color w:val="000000"/>
              </w:rPr>
              <w:t>ISENTO</w:t>
            </w:r>
          </w:p>
        </w:tc>
      </w:tr>
      <w:tr w:rsidR="00155D23" w:rsidRPr="003657F2" w14:paraId="3F7FCBC2" w14:textId="77777777" w:rsidTr="00310280">
        <w:trPr>
          <w:jc w:val="center"/>
        </w:trPr>
        <w:tc>
          <w:tcPr>
            <w:tcW w:w="1798" w:type="dxa"/>
            <w:vMerge w:val="restart"/>
            <w:vAlign w:val="center"/>
          </w:tcPr>
          <w:p w14:paraId="7360E310" w14:textId="77777777" w:rsidR="00155D23" w:rsidRPr="003657F2" w:rsidRDefault="00155D23" w:rsidP="00310280">
            <w:pPr>
              <w:spacing w:before="120" w:after="120"/>
              <w:jc w:val="center"/>
              <w:rPr>
                <w:rFonts w:ascii="Arial" w:eastAsia="Times New Roman" w:hAnsi="Arial" w:cs="Arial"/>
                <w:i/>
                <w:iCs/>
                <w:color w:val="000000"/>
                <w:sz w:val="24"/>
                <w:szCs w:val="24"/>
                <w:lang w:eastAsia="pt-BR"/>
                <w14:ligatures w14:val="none"/>
              </w:rPr>
            </w:pPr>
            <w:r w:rsidRPr="003657F2">
              <w:rPr>
                <w:i/>
                <w:iCs/>
              </w:rPr>
              <w:t>TODAS</w:t>
            </w:r>
            <w:r>
              <w:rPr>
                <w:i/>
                <w:iCs/>
              </w:rPr>
              <w:t xml:space="preserve"> AS DEMAIS</w:t>
            </w:r>
          </w:p>
        </w:tc>
        <w:tc>
          <w:tcPr>
            <w:tcW w:w="1799" w:type="dxa"/>
            <w:vAlign w:val="center"/>
          </w:tcPr>
          <w:p w14:paraId="66F3CF73" w14:textId="77777777" w:rsidR="00155D23" w:rsidRPr="003657F2" w:rsidRDefault="00155D23" w:rsidP="00310280">
            <w:pPr>
              <w:spacing w:before="120" w:after="120"/>
              <w:jc w:val="center"/>
              <w:rPr>
                <w:rFonts w:ascii="Arial" w:eastAsia="Times New Roman" w:hAnsi="Arial" w:cs="Arial"/>
                <w:i/>
                <w:iCs/>
                <w:color w:val="000000"/>
                <w:sz w:val="24"/>
                <w:szCs w:val="24"/>
                <w:lang w:eastAsia="pt-BR"/>
                <w14:ligatures w14:val="none"/>
              </w:rPr>
            </w:pPr>
            <w:r w:rsidRPr="003657F2">
              <w:rPr>
                <w:rFonts w:ascii="Calibri" w:hAnsi="Calibri" w:cs="Calibri"/>
                <w:i/>
                <w:iCs/>
                <w:color w:val="000000"/>
              </w:rPr>
              <w:t>0 - 100</w:t>
            </w:r>
          </w:p>
        </w:tc>
        <w:tc>
          <w:tcPr>
            <w:tcW w:w="1799" w:type="dxa"/>
            <w:vAlign w:val="center"/>
          </w:tcPr>
          <w:p w14:paraId="326A6BAF" w14:textId="77777777" w:rsidR="00155D23" w:rsidRPr="003657F2" w:rsidRDefault="00155D23" w:rsidP="00310280">
            <w:pPr>
              <w:spacing w:before="120" w:after="120"/>
              <w:jc w:val="center"/>
              <w:rPr>
                <w:rFonts w:ascii="Arial" w:eastAsia="Times New Roman" w:hAnsi="Arial" w:cs="Arial"/>
                <w:i/>
                <w:iCs/>
                <w:color w:val="000000"/>
                <w:sz w:val="24"/>
                <w:szCs w:val="24"/>
                <w:lang w:eastAsia="pt-BR"/>
                <w14:ligatures w14:val="none"/>
              </w:rPr>
            </w:pPr>
            <w:r w:rsidRPr="003657F2">
              <w:rPr>
                <w:rFonts w:ascii="Calibri" w:hAnsi="Calibri" w:cs="Calibri"/>
                <w:i/>
                <w:iCs/>
                <w:color w:val="000000"/>
              </w:rPr>
              <w:t>ISENTO</w:t>
            </w:r>
          </w:p>
        </w:tc>
        <w:tc>
          <w:tcPr>
            <w:tcW w:w="1799" w:type="dxa"/>
            <w:vAlign w:val="center"/>
          </w:tcPr>
          <w:p w14:paraId="37B1EA8C" w14:textId="77777777" w:rsidR="00155D23" w:rsidRPr="003657F2" w:rsidRDefault="00155D23" w:rsidP="00310280">
            <w:pPr>
              <w:spacing w:before="120" w:after="120"/>
              <w:jc w:val="center"/>
              <w:rPr>
                <w:rFonts w:ascii="Arial" w:eastAsia="Times New Roman" w:hAnsi="Arial" w:cs="Arial"/>
                <w:i/>
                <w:iCs/>
                <w:color w:val="000000"/>
                <w:sz w:val="24"/>
                <w:szCs w:val="24"/>
                <w:lang w:eastAsia="pt-BR"/>
                <w14:ligatures w14:val="none"/>
              </w:rPr>
            </w:pPr>
            <w:r w:rsidRPr="003657F2">
              <w:rPr>
                <w:rFonts w:ascii="Calibri" w:hAnsi="Calibri" w:cs="Calibri"/>
                <w:i/>
                <w:iCs/>
                <w:color w:val="000000"/>
              </w:rPr>
              <w:t>ISENTO</w:t>
            </w:r>
          </w:p>
        </w:tc>
      </w:tr>
      <w:tr w:rsidR="00155D23" w:rsidRPr="003657F2" w14:paraId="1EB90475" w14:textId="77777777" w:rsidTr="00310280">
        <w:trPr>
          <w:jc w:val="center"/>
        </w:trPr>
        <w:tc>
          <w:tcPr>
            <w:tcW w:w="1798" w:type="dxa"/>
            <w:vMerge/>
            <w:tcBorders>
              <w:bottom w:val="single" w:sz="4" w:space="0" w:color="auto"/>
            </w:tcBorders>
            <w:vAlign w:val="center"/>
          </w:tcPr>
          <w:p w14:paraId="24B8B595" w14:textId="77777777" w:rsidR="00155D23" w:rsidRPr="003657F2" w:rsidRDefault="00155D23" w:rsidP="00310280">
            <w:pPr>
              <w:spacing w:before="120" w:after="120"/>
              <w:jc w:val="center"/>
              <w:rPr>
                <w:rFonts w:ascii="Arial" w:eastAsia="Times New Roman" w:hAnsi="Arial" w:cs="Arial"/>
                <w:i/>
                <w:iCs/>
                <w:color w:val="000000"/>
                <w:sz w:val="24"/>
                <w:szCs w:val="24"/>
                <w:lang w:eastAsia="pt-BR"/>
                <w14:ligatures w14:val="none"/>
              </w:rPr>
            </w:pPr>
          </w:p>
        </w:tc>
        <w:tc>
          <w:tcPr>
            <w:tcW w:w="1799" w:type="dxa"/>
            <w:tcBorders>
              <w:bottom w:val="single" w:sz="4" w:space="0" w:color="auto"/>
            </w:tcBorders>
            <w:vAlign w:val="center"/>
          </w:tcPr>
          <w:p w14:paraId="5D1AE261" w14:textId="77777777" w:rsidR="00155D23" w:rsidRPr="003657F2" w:rsidRDefault="00155D23" w:rsidP="00310280">
            <w:pPr>
              <w:spacing w:before="120" w:after="120"/>
              <w:jc w:val="center"/>
              <w:rPr>
                <w:rFonts w:ascii="Arial" w:eastAsia="Times New Roman" w:hAnsi="Arial" w:cs="Arial"/>
                <w:i/>
                <w:iCs/>
                <w:color w:val="000000"/>
                <w:sz w:val="24"/>
                <w:szCs w:val="24"/>
                <w:lang w:eastAsia="pt-BR"/>
                <w14:ligatures w14:val="none"/>
              </w:rPr>
            </w:pPr>
            <w:r w:rsidRPr="003657F2">
              <w:rPr>
                <w:rFonts w:ascii="Calibri" w:hAnsi="Calibri" w:cs="Calibri"/>
                <w:i/>
                <w:iCs/>
                <w:color w:val="000000"/>
              </w:rPr>
              <w:t>Acima de 100</w:t>
            </w:r>
          </w:p>
        </w:tc>
        <w:tc>
          <w:tcPr>
            <w:tcW w:w="1799" w:type="dxa"/>
            <w:tcBorders>
              <w:bottom w:val="single" w:sz="4" w:space="0" w:color="auto"/>
            </w:tcBorders>
            <w:vAlign w:val="center"/>
          </w:tcPr>
          <w:p w14:paraId="6B6B877D" w14:textId="77777777" w:rsidR="00155D23" w:rsidRPr="003657F2" w:rsidRDefault="00155D23" w:rsidP="00310280">
            <w:pPr>
              <w:spacing w:before="120" w:after="120"/>
              <w:jc w:val="center"/>
              <w:rPr>
                <w:rFonts w:ascii="Arial" w:eastAsia="Times New Roman" w:hAnsi="Arial" w:cs="Arial"/>
                <w:i/>
                <w:iCs/>
                <w:color w:val="000000"/>
                <w:sz w:val="24"/>
                <w:szCs w:val="24"/>
                <w:lang w:eastAsia="pt-BR"/>
                <w14:ligatures w14:val="none"/>
              </w:rPr>
            </w:pPr>
            <w:r w:rsidRPr="003657F2">
              <w:rPr>
                <w:rFonts w:ascii="Calibri" w:hAnsi="Calibri" w:cs="Calibri"/>
                <w:i/>
                <w:iCs/>
                <w:color w:val="000000"/>
              </w:rPr>
              <w:t>8%</w:t>
            </w:r>
          </w:p>
        </w:tc>
        <w:tc>
          <w:tcPr>
            <w:tcW w:w="1799" w:type="dxa"/>
            <w:tcBorders>
              <w:bottom w:val="single" w:sz="4" w:space="0" w:color="auto"/>
            </w:tcBorders>
            <w:vAlign w:val="center"/>
          </w:tcPr>
          <w:p w14:paraId="1739C7F7" w14:textId="77777777" w:rsidR="00155D23" w:rsidRPr="003657F2" w:rsidRDefault="00155D23" w:rsidP="00310280">
            <w:pPr>
              <w:spacing w:before="120" w:after="120"/>
              <w:jc w:val="center"/>
              <w:rPr>
                <w:rFonts w:ascii="Arial" w:eastAsia="Times New Roman" w:hAnsi="Arial" w:cs="Arial"/>
                <w:i/>
                <w:iCs/>
                <w:color w:val="000000"/>
                <w:sz w:val="24"/>
                <w:szCs w:val="24"/>
                <w:lang w:eastAsia="pt-BR"/>
                <w14:ligatures w14:val="none"/>
              </w:rPr>
            </w:pPr>
            <w:r w:rsidRPr="003657F2">
              <w:rPr>
                <w:rFonts w:ascii="Calibri" w:hAnsi="Calibri" w:cs="Calibri"/>
                <w:i/>
                <w:iCs/>
                <w:color w:val="000000"/>
              </w:rPr>
              <w:t>Nota 1</w:t>
            </w:r>
          </w:p>
        </w:tc>
      </w:tr>
    </w:tbl>
    <w:p w14:paraId="37CA8DD7" w14:textId="77777777" w:rsidR="00155D23" w:rsidRDefault="00155D23" w:rsidP="00BE2990">
      <w:pPr>
        <w:spacing w:after="0" w:line="240" w:lineRule="auto"/>
        <w:rPr>
          <w:rFonts w:ascii="Arial" w:eastAsia="Times New Roman" w:hAnsi="Arial" w:cs="Arial"/>
          <w:color w:val="000000"/>
          <w:kern w:val="0"/>
          <w:sz w:val="24"/>
          <w:szCs w:val="24"/>
          <w:lang w:eastAsia="pt-BR"/>
          <w14:ligatures w14:val="none"/>
        </w:rPr>
      </w:pPr>
    </w:p>
    <w:p w14:paraId="43D6B775" w14:textId="77777777" w:rsidR="004B4145" w:rsidRDefault="004B4145" w:rsidP="00BE2990">
      <w:pPr>
        <w:spacing w:after="0" w:line="240" w:lineRule="auto"/>
        <w:jc w:val="both"/>
        <w:rPr>
          <w:rFonts w:ascii="Arial" w:eastAsia="Times New Roman" w:hAnsi="Arial" w:cs="Arial"/>
          <w:i/>
          <w:iCs/>
          <w:color w:val="000000"/>
          <w:kern w:val="0"/>
          <w:sz w:val="24"/>
          <w:szCs w:val="24"/>
          <w:lang w:eastAsia="pt-BR"/>
          <w14:ligatures w14:val="none"/>
        </w:rPr>
      </w:pPr>
      <w:r w:rsidRPr="003657F2">
        <w:rPr>
          <w:rFonts w:ascii="Arial" w:eastAsia="Times New Roman" w:hAnsi="Arial" w:cs="Arial"/>
          <w:i/>
          <w:iCs/>
          <w:color w:val="000000"/>
          <w:kern w:val="0"/>
          <w:sz w:val="24"/>
          <w:szCs w:val="24"/>
          <w:lang w:eastAsia="pt-BR"/>
          <w14:ligatures w14:val="none"/>
        </w:rPr>
        <w:t xml:space="preserve">Nota 1 – Valor equivalente </w:t>
      </w:r>
      <w:r>
        <w:rPr>
          <w:rFonts w:ascii="Arial" w:eastAsia="Times New Roman" w:hAnsi="Arial" w:cs="Arial"/>
          <w:i/>
          <w:iCs/>
          <w:color w:val="000000"/>
          <w:kern w:val="0"/>
          <w:sz w:val="24"/>
          <w:szCs w:val="24"/>
          <w:lang w:eastAsia="pt-BR"/>
          <w14:ligatures w14:val="none"/>
        </w:rPr>
        <w:t>a</w:t>
      </w:r>
      <w:r w:rsidRPr="003657F2">
        <w:rPr>
          <w:rFonts w:ascii="Arial" w:eastAsia="Times New Roman" w:hAnsi="Arial" w:cs="Arial"/>
          <w:i/>
          <w:iCs/>
          <w:color w:val="000000"/>
          <w:kern w:val="0"/>
          <w:sz w:val="24"/>
          <w:szCs w:val="24"/>
          <w:lang w:eastAsia="pt-BR"/>
          <w14:ligatures w14:val="none"/>
        </w:rPr>
        <w:t xml:space="preserve"> </w:t>
      </w:r>
      <w:r>
        <w:rPr>
          <w:rFonts w:ascii="Arial" w:eastAsia="Times New Roman" w:hAnsi="Arial" w:cs="Arial"/>
          <w:i/>
          <w:iCs/>
          <w:color w:val="000000"/>
          <w:kern w:val="0"/>
          <w:sz w:val="24"/>
          <w:szCs w:val="24"/>
          <w:lang w:eastAsia="pt-BR"/>
          <w14:ligatures w14:val="none"/>
        </w:rPr>
        <w:t>19</w:t>
      </w:r>
      <w:r w:rsidRPr="003657F2">
        <w:rPr>
          <w:rFonts w:ascii="Arial" w:eastAsia="Times New Roman" w:hAnsi="Arial" w:cs="Arial"/>
          <w:i/>
          <w:iCs/>
          <w:color w:val="000000"/>
          <w:kern w:val="0"/>
          <w:sz w:val="24"/>
          <w:szCs w:val="24"/>
          <w:lang w:eastAsia="pt-BR"/>
          <w14:ligatures w14:val="none"/>
        </w:rPr>
        <w:t>0kWh da tarifa B</w:t>
      </w:r>
      <w:r>
        <w:rPr>
          <w:rFonts w:ascii="Arial" w:eastAsia="Times New Roman" w:hAnsi="Arial" w:cs="Arial"/>
          <w:i/>
          <w:iCs/>
          <w:color w:val="000000"/>
          <w:kern w:val="0"/>
          <w:sz w:val="24"/>
          <w:szCs w:val="24"/>
          <w:lang w:eastAsia="pt-BR"/>
          <w14:ligatures w14:val="none"/>
        </w:rPr>
        <w:t>1 na data de faturamento, incluindo impostos, regulado pela Agência Nacional e Energia Elétrica (ANEEL)</w:t>
      </w:r>
      <w:r w:rsidRPr="003657F2">
        <w:rPr>
          <w:rFonts w:ascii="Arial" w:eastAsia="Times New Roman" w:hAnsi="Arial" w:cs="Arial"/>
          <w:i/>
          <w:iCs/>
          <w:color w:val="000000"/>
          <w:kern w:val="0"/>
          <w:sz w:val="24"/>
          <w:szCs w:val="24"/>
          <w:lang w:eastAsia="pt-BR"/>
          <w14:ligatures w14:val="none"/>
        </w:rPr>
        <w:t>.</w:t>
      </w:r>
    </w:p>
    <w:sectPr w:rsidR="004B414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Helvetica-Bold">
    <w:altName w:val="Helvetic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996"/>
    <w:rsid w:val="00155D23"/>
    <w:rsid w:val="00247D77"/>
    <w:rsid w:val="002C3943"/>
    <w:rsid w:val="003657F2"/>
    <w:rsid w:val="00367042"/>
    <w:rsid w:val="003935E1"/>
    <w:rsid w:val="003C3996"/>
    <w:rsid w:val="003D6B53"/>
    <w:rsid w:val="00404E09"/>
    <w:rsid w:val="004B4145"/>
    <w:rsid w:val="00530A67"/>
    <w:rsid w:val="006B4841"/>
    <w:rsid w:val="009127FB"/>
    <w:rsid w:val="009F59C5"/>
    <w:rsid w:val="00B4706F"/>
    <w:rsid w:val="00BC7141"/>
    <w:rsid w:val="00BE2990"/>
    <w:rsid w:val="00C04EB2"/>
    <w:rsid w:val="00D03D5D"/>
    <w:rsid w:val="00F85E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F36A1"/>
  <w15:chartTrackingRefBased/>
  <w15:docId w15:val="{391A5941-DBC5-45F3-B58B-B93E422D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3C39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3C39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3C399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3C399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3C399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3C399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3C399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3C399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3C3996"/>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C3996"/>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3C3996"/>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3C3996"/>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3C3996"/>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3C3996"/>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3C3996"/>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3C3996"/>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3C3996"/>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3C3996"/>
    <w:rPr>
      <w:rFonts w:eastAsiaTheme="majorEastAsia" w:cstheme="majorBidi"/>
      <w:color w:val="272727" w:themeColor="text1" w:themeTint="D8"/>
    </w:rPr>
  </w:style>
  <w:style w:type="paragraph" w:styleId="Ttulo">
    <w:name w:val="Title"/>
    <w:basedOn w:val="Normal"/>
    <w:next w:val="Normal"/>
    <w:link w:val="TtuloChar"/>
    <w:uiPriority w:val="10"/>
    <w:qFormat/>
    <w:rsid w:val="003C39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3C399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3C3996"/>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3C3996"/>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3C3996"/>
    <w:pPr>
      <w:spacing w:before="160"/>
      <w:jc w:val="center"/>
    </w:pPr>
    <w:rPr>
      <w:i/>
      <w:iCs/>
      <w:color w:val="404040" w:themeColor="text1" w:themeTint="BF"/>
    </w:rPr>
  </w:style>
  <w:style w:type="character" w:customStyle="1" w:styleId="CitaoChar">
    <w:name w:val="Citação Char"/>
    <w:basedOn w:val="Fontepargpadro"/>
    <w:link w:val="Citao"/>
    <w:uiPriority w:val="29"/>
    <w:rsid w:val="003C3996"/>
    <w:rPr>
      <w:i/>
      <w:iCs/>
      <w:color w:val="404040" w:themeColor="text1" w:themeTint="BF"/>
    </w:rPr>
  </w:style>
  <w:style w:type="paragraph" w:styleId="PargrafodaLista">
    <w:name w:val="List Paragraph"/>
    <w:basedOn w:val="Normal"/>
    <w:uiPriority w:val="34"/>
    <w:qFormat/>
    <w:rsid w:val="003C3996"/>
    <w:pPr>
      <w:ind w:left="720"/>
      <w:contextualSpacing/>
    </w:pPr>
  </w:style>
  <w:style w:type="character" w:styleId="nfaseIntensa">
    <w:name w:val="Intense Emphasis"/>
    <w:basedOn w:val="Fontepargpadro"/>
    <w:uiPriority w:val="21"/>
    <w:qFormat/>
    <w:rsid w:val="003C3996"/>
    <w:rPr>
      <w:i/>
      <w:iCs/>
      <w:color w:val="0F4761" w:themeColor="accent1" w:themeShade="BF"/>
    </w:rPr>
  </w:style>
  <w:style w:type="paragraph" w:styleId="CitaoIntensa">
    <w:name w:val="Intense Quote"/>
    <w:basedOn w:val="Normal"/>
    <w:next w:val="Normal"/>
    <w:link w:val="CitaoIntensaChar"/>
    <w:uiPriority w:val="30"/>
    <w:qFormat/>
    <w:rsid w:val="003C39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3C3996"/>
    <w:rPr>
      <w:i/>
      <w:iCs/>
      <w:color w:val="0F4761" w:themeColor="accent1" w:themeShade="BF"/>
    </w:rPr>
  </w:style>
  <w:style w:type="character" w:styleId="RefernciaIntensa">
    <w:name w:val="Intense Reference"/>
    <w:basedOn w:val="Fontepargpadro"/>
    <w:uiPriority w:val="32"/>
    <w:qFormat/>
    <w:rsid w:val="003C3996"/>
    <w:rPr>
      <w:b/>
      <w:bCs/>
      <w:smallCaps/>
      <w:color w:val="0F4761" w:themeColor="accent1" w:themeShade="BF"/>
      <w:spacing w:val="5"/>
    </w:rPr>
  </w:style>
  <w:style w:type="character" w:customStyle="1" w:styleId="fontstyle01">
    <w:name w:val="fontstyle01"/>
    <w:basedOn w:val="Fontepargpadro"/>
    <w:rsid w:val="003C3996"/>
    <w:rPr>
      <w:rFonts w:ascii="Times-Bold" w:hAnsi="Times-Bold" w:hint="default"/>
      <w:b/>
      <w:bCs/>
      <w:i w:val="0"/>
      <w:iCs w:val="0"/>
      <w:color w:val="000000"/>
      <w:sz w:val="24"/>
      <w:szCs w:val="24"/>
    </w:rPr>
  </w:style>
  <w:style w:type="character" w:customStyle="1" w:styleId="fontstyle21">
    <w:name w:val="fontstyle21"/>
    <w:basedOn w:val="Fontepargpadro"/>
    <w:rsid w:val="003C3996"/>
    <w:rPr>
      <w:rFonts w:ascii="Times-Roman" w:hAnsi="Times-Roman" w:hint="default"/>
      <w:b w:val="0"/>
      <w:bCs w:val="0"/>
      <w:i w:val="0"/>
      <w:iCs w:val="0"/>
      <w:color w:val="000000"/>
      <w:sz w:val="24"/>
      <w:szCs w:val="24"/>
    </w:rPr>
  </w:style>
  <w:style w:type="character" w:customStyle="1" w:styleId="fontstyle31">
    <w:name w:val="fontstyle31"/>
    <w:basedOn w:val="Fontepargpadro"/>
    <w:rsid w:val="003C3996"/>
    <w:rPr>
      <w:rFonts w:ascii="Helvetica-Bold" w:hAnsi="Helvetica-Bold" w:hint="default"/>
      <w:b/>
      <w:bCs/>
      <w:i w:val="0"/>
      <w:iCs w:val="0"/>
      <w:color w:val="000000"/>
      <w:sz w:val="24"/>
      <w:szCs w:val="24"/>
    </w:rPr>
  </w:style>
  <w:style w:type="character" w:customStyle="1" w:styleId="fontstyle41">
    <w:name w:val="fontstyle41"/>
    <w:basedOn w:val="Fontepargpadro"/>
    <w:rsid w:val="003C3996"/>
    <w:rPr>
      <w:rFonts w:ascii="Helvetica" w:hAnsi="Helvetica" w:cs="Helvetica" w:hint="default"/>
      <w:b w:val="0"/>
      <w:bCs w:val="0"/>
      <w:i w:val="0"/>
      <w:iCs w:val="0"/>
      <w:color w:val="000000"/>
      <w:sz w:val="18"/>
      <w:szCs w:val="18"/>
    </w:rPr>
  </w:style>
  <w:style w:type="table" w:styleId="Tabelacomgrade">
    <w:name w:val="Table Grid"/>
    <w:basedOn w:val="Tabelanormal"/>
    <w:uiPriority w:val="39"/>
    <w:rsid w:val="00404E09"/>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373993">
      <w:bodyDiv w:val="1"/>
      <w:marLeft w:val="0"/>
      <w:marRight w:val="0"/>
      <w:marTop w:val="0"/>
      <w:marBottom w:val="0"/>
      <w:divBdr>
        <w:top w:val="none" w:sz="0" w:space="0" w:color="auto"/>
        <w:left w:val="none" w:sz="0" w:space="0" w:color="auto"/>
        <w:bottom w:val="none" w:sz="0" w:space="0" w:color="auto"/>
        <w:right w:val="none" w:sz="0" w:space="0" w:color="auto"/>
      </w:divBdr>
    </w:div>
    <w:div w:id="1695956174">
      <w:bodyDiv w:val="1"/>
      <w:marLeft w:val="0"/>
      <w:marRight w:val="0"/>
      <w:marTop w:val="0"/>
      <w:marBottom w:val="0"/>
      <w:divBdr>
        <w:top w:val="none" w:sz="0" w:space="0" w:color="auto"/>
        <w:left w:val="none" w:sz="0" w:space="0" w:color="auto"/>
        <w:bottom w:val="none" w:sz="0" w:space="0" w:color="auto"/>
        <w:right w:val="none" w:sz="0" w:space="0" w:color="auto"/>
      </w:divBdr>
    </w:div>
    <w:div w:id="1723358030">
      <w:bodyDiv w:val="1"/>
      <w:marLeft w:val="0"/>
      <w:marRight w:val="0"/>
      <w:marTop w:val="0"/>
      <w:marBottom w:val="0"/>
      <w:divBdr>
        <w:top w:val="none" w:sz="0" w:space="0" w:color="auto"/>
        <w:left w:val="none" w:sz="0" w:space="0" w:color="auto"/>
        <w:bottom w:val="none" w:sz="0" w:space="0" w:color="auto"/>
        <w:right w:val="none" w:sz="0" w:space="0" w:color="auto"/>
      </w:divBdr>
    </w:div>
    <w:div w:id="193443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73CA25B8352E4BB2BEFD48E59F1D39" ma:contentTypeVersion="15" ma:contentTypeDescription="Crie um novo documento." ma:contentTypeScope="" ma:versionID="30423a8da21791a03274dc9a6d1b9de2">
  <xsd:schema xmlns:xsd="http://www.w3.org/2001/XMLSchema" xmlns:xs="http://www.w3.org/2001/XMLSchema" xmlns:p="http://schemas.microsoft.com/office/2006/metadata/properties" xmlns:ns2="76a49092-22cb-4b83-8fd0-fd370495f0d8" xmlns:ns3="d029ce58-7a75-4c3f-ad97-f58392fbb9bd" targetNamespace="http://schemas.microsoft.com/office/2006/metadata/properties" ma:root="true" ma:fieldsID="62c2f0a75809114c3d5344af945b426e" ns2:_="" ns3:_="">
    <xsd:import namespace="76a49092-22cb-4b83-8fd0-fd370495f0d8"/>
    <xsd:import namespace="d029ce58-7a75-4c3f-ad97-f58392fbb9b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a49092-22cb-4b83-8fd0-fd370495f0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Marcações de imagem" ma:readOnly="false" ma:fieldId="{5cf76f15-5ced-4ddc-b409-7134ff3c332f}" ma:taxonomyMulti="true" ma:sspId="96ea5821-12ab-42b5-a514-d582b4d033e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29ce58-7a75-4c3f-ad97-f58392fbb9b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341a606-b43e-4f7b-adb5-cec82c9c9053}" ma:internalName="TaxCatchAll" ma:showField="CatchAllData" ma:web="d029ce58-7a75-4c3f-ad97-f58392fbb9b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0EFE2A-1882-40F0-AD88-7F8452C1F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a49092-22cb-4b83-8fd0-fd370495f0d8"/>
    <ds:schemaRef ds:uri="d029ce58-7a75-4c3f-ad97-f58392fbb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59881B-5C83-46CD-81AB-7E1CC2D428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807</Words>
  <Characters>4364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Andrade Lucci</dc:creator>
  <cp:keywords/>
  <dc:description/>
  <cp:lastModifiedBy>Saneamento</cp:lastModifiedBy>
  <cp:revision>6</cp:revision>
  <dcterms:created xsi:type="dcterms:W3CDTF">2024-05-17T15:03:00Z</dcterms:created>
  <dcterms:modified xsi:type="dcterms:W3CDTF">2024-05-22T02:08:00Z</dcterms:modified>
</cp:coreProperties>
</file>